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D6" w:rsidRPr="00887C6A" w:rsidRDefault="001202D6" w:rsidP="001202D6"/>
    <w:p w:rsidR="001202D6" w:rsidRPr="00887C6A" w:rsidRDefault="001202D6" w:rsidP="001202D6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887C6A">
        <w:rPr>
          <w:rFonts w:ascii="DINPro-Regular" w:hAnsi="DINPro-Regular" w:cs="DINPro-Regular"/>
          <w:color w:val="000000"/>
          <w:sz w:val="18"/>
          <w:szCs w:val="18"/>
          <w:lang w:val="uk-UA"/>
        </w:rPr>
        <w:t>УДК: 636.4.082.084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1202D6" w:rsidRPr="00887C6A" w:rsidRDefault="001202D6" w:rsidP="001202D6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ВІДГОДІВЕЛЬНІ ЯКОСТІ СВИНЕЙ СУЧАСНИХ ГЕНОТИПІВ З ПОЗИЦІЇ ОПТИМАЛЬНОЇ ВЗАЄМОДІЇ ЇХ ГЕНОТИПІВ ТА СПЕЦИФІКИ СЕРЕДОВИЩА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1202D6" w:rsidRPr="00887C6A" w:rsidRDefault="001202D6" w:rsidP="001202D6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О. В. </w:t>
      </w:r>
      <w:proofErr w:type="spellStart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Акімов</w:t>
      </w:r>
      <w:proofErr w:type="spellEnd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, </w:t>
      </w: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кандидат сільськогосподарських наук,</w:t>
      </w:r>
    </w:p>
    <w:p w:rsidR="001202D6" w:rsidRPr="00887C6A" w:rsidRDefault="001202D6" w:rsidP="001202D6">
      <w:pPr>
        <w:rPr>
          <w:lang w:val="uk-UA"/>
        </w:rPr>
      </w:pP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Інститут тваринництва НААН</w:t>
      </w:r>
    </w:p>
    <w:p w:rsidR="001202D6" w:rsidRPr="00887C6A" w:rsidRDefault="001202D6" w:rsidP="001202D6">
      <w:pPr>
        <w:rPr>
          <w:lang w:val="uk-UA"/>
        </w:rPr>
      </w:pP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У статті визначено ефективність вирощування свиней різних генотипів (за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) при утриманні в різних умовах, яка вказує на переваги використання саме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стресстійких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тварин порівняно із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стресчутливими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при органічному виробництві свинини.</w:t>
      </w:r>
      <w:r w:rsidRPr="00887C6A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відгодівля свиней,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стресостійкість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літній табір, коефіцієнт </w:t>
      </w:r>
      <w:proofErr w:type="spellStart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фенотипової</w:t>
      </w:r>
      <w:proofErr w:type="spellEnd"/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консолідації, середньодобовий приріст, витрати кормів.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6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6"/>
          <w:sz w:val="20"/>
          <w:szCs w:val="20"/>
          <w:lang w:val="uk-UA"/>
        </w:rPr>
        <w:t xml:space="preserve">Свині зазнали суттєвих змін з часу одомашнення. Ці зміни на генетичному рівні сформували тварин, що відзначаються високим рівнем продуктивності, однак водночас й низькою </w:t>
      </w:r>
      <w:proofErr w:type="spellStart"/>
      <w:r w:rsidRPr="00887C6A">
        <w:rPr>
          <w:rFonts w:ascii="SchoolBookCTT" w:hAnsi="SchoolBookCTT" w:cs="SchoolBookCTT"/>
          <w:color w:val="000000"/>
          <w:spacing w:val="-6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pacing w:val="-6"/>
          <w:sz w:val="20"/>
          <w:szCs w:val="20"/>
          <w:lang w:val="uk-UA"/>
        </w:rPr>
        <w:t xml:space="preserve">. Сучасні технології утримання відзначаються значним рівнем впливу </w:t>
      </w:r>
      <w:proofErr w:type="spellStart"/>
      <w:r w:rsidRPr="00887C6A">
        <w:rPr>
          <w:rFonts w:ascii="SchoolBookCTT" w:hAnsi="SchoolBookCTT" w:cs="SchoolBookCTT"/>
          <w:color w:val="000000"/>
          <w:spacing w:val="-6"/>
          <w:sz w:val="20"/>
          <w:szCs w:val="20"/>
          <w:lang w:val="uk-UA"/>
        </w:rPr>
        <w:t>паратипових</w:t>
      </w:r>
      <w:proofErr w:type="spellEnd"/>
      <w:r w:rsidRPr="00887C6A">
        <w:rPr>
          <w:rFonts w:ascii="SchoolBookCTT" w:hAnsi="SchoolBookCTT" w:cs="SchoolBookCTT"/>
          <w:color w:val="000000"/>
          <w:spacing w:val="-6"/>
          <w:sz w:val="20"/>
          <w:szCs w:val="20"/>
          <w:lang w:val="uk-UA"/>
        </w:rPr>
        <w:t xml:space="preserve"> факторів на розкриття генетичного потенціалу. Однак утримання тварин в умовах літніх таборів та вигонів не сприятиме підвищенню розкриття їх генетичного потенціалу.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Інтенсивні технології виробництва свинини виявляють нові вимоги до тварин, які повинні в жорстких технологічних умовах швидко набирати масу та зберігати якість туш [1, 2]. Подібні ж принципи формують собівартість продукції та її реалізаційну ціну й при органічному виробництві.</w:t>
      </w:r>
    </w:p>
    <w:p w:rsidR="001202D6" w:rsidRPr="00887C6A" w:rsidRDefault="001202D6" w:rsidP="001202D6">
      <w:pPr>
        <w:tabs>
          <w:tab w:val="left" w:pos="720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Отже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стресостійкість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як ознака, що виражає здатність адаптації свиней до певних умов експлуатації без помітної втрати продуктивності. Таким чином різні генотипи тварин, що відрізняються за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можуть відзначатись і різною пристосованістю до кардинальної зміни умов утримання. Отже дослідження пов’язані з вивченням придатності свиней з різною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до відгодівлі в умовах органічного виробництва на сьогодні є 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групи в літніх таборах. Коефіцієнт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фенотипової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консолідації розраховувався наступним чином. Для груп контролю враховувались показники по відношенню до середнього по всім тваринам 3-х груп контролю, а для груп досліду відповідно до середнього по всім тваринам 3-х груп досліду. Загальні значення коефіцієнту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фенотипової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консолідації розраховувались до середніх значень всього оціненого поголів’я.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  <w:t>Результат досліджень.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Визначено ефективність вирощування свиней різних генотипів (за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 при утриманні в різних умовах (в типових приміщеннях для відгодівлі та утриманні в літніх таборах). При переведенні поросят розподілених на групи за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 відгодівлю, середня жива маса молодняку груп М+ склала 29,20 ± </w:t>
      </w:r>
      <w:smartTag w:uri="urn:schemas-microsoft-com:office:smarttags" w:element="metricconverter">
        <w:smartTagPr>
          <w:attr w:name="ProductID" w:val="0,550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0,550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М- – 28,30 ± </w:t>
      </w:r>
      <w:smartTag w:uri="urn:schemas-microsoft-com:office:smarttags" w:element="metricconverter">
        <w:smartTagPr>
          <w:attr w:name="ProductID" w:val="0,537 кг"/>
        </w:smartTagPr>
        <w:r w:rsidRPr="00887C6A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0,537 кг</w:t>
        </w:r>
      </w:smartTag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– 28,05 ± 0,450.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За результатами порівняльної відгодівлі встановлено, що утримання в літніх таборах відобразилось подовженням періоду відгодівлі в середньому по всім групам на 11,15 %. Не зважаючи на більшу тривалість відгодівлі у тварин групи розподілу за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М- (188,29 дні), найбільшим подовженням періоду відгодівлі при утриманні в літніх таборах порівняно з утриманням в приміщеннях відзначались тварини групи розподілу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(11,61 %).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Подібно до віку досягнення живої маси на відгодівлі, кращі ж результати й за середньодобовими приростами (823,10г) та витратами кормів (3,27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к.од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.) отримано по контрольним групам.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Однак, враховуючи значення коефіцієнтів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фенотипової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консолідації розраховані до середніх показників по дослідним групам за показником тривалості відгодівлі, при утриманні в літніх таборах, по групам розподілу за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Мо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та М- спостерігалось зменшення консолідованості при визначенні КФК як за середньоквадратичним відхиленням так і за коефіцієнтом варіації.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В той же час, молодняк групи розподілу за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Мо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та М- за основними відгодівельними ознаками відзначався зниженням консолідованості, в той час як молодняк групи розподілу М+ був достатньо консолідованим, що вказує на переваги використання саме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стресстійких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тварин порівняно із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стресчутливими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при органічному виробництві свинини. Таке формування груп для органічного виробництва свинини сприятиме спрощенню формування подальших технологічних груп для проведення забою тварин.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b/>
          <w:bCs/>
          <w:color w:val="000000"/>
          <w:spacing w:val="-4"/>
          <w:sz w:val="20"/>
          <w:szCs w:val="20"/>
          <w:lang w:val="uk-UA"/>
        </w:rPr>
        <w:lastRenderedPageBreak/>
        <w:t xml:space="preserve">Висновки. </w:t>
      </w:r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Результати досліджень вказують, що молодняк групи розподілу за </w:t>
      </w:r>
      <w:proofErr w:type="spellStart"/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М+ є достатньо консолідованим за рівнем прояву основних відгодівельних ознак при утриманні в літніх таборах, що вказує на переваги використання саме </w:t>
      </w:r>
      <w:proofErr w:type="spellStart"/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стресстійких</w:t>
      </w:r>
      <w:proofErr w:type="spellEnd"/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тварин порівняно із </w:t>
      </w:r>
      <w:proofErr w:type="spellStart"/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стресчутливими</w:t>
      </w:r>
      <w:proofErr w:type="spellEnd"/>
      <w:r w:rsidRPr="00887C6A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при органічному виробництві свинини. Таке формування груп для органічного виробництва свинини сприятиме спрощенню формування подальших технологічних груп для проведення забою тварин.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</w:pPr>
    </w:p>
    <w:p w:rsidR="001202D6" w:rsidRPr="00887C6A" w:rsidRDefault="001202D6" w:rsidP="001202D6">
      <w:pPr>
        <w:suppressAutoHyphens/>
        <w:autoSpaceDE w:val="0"/>
        <w:autoSpaceDN w:val="0"/>
        <w:adjustRightInd w:val="0"/>
        <w:spacing w:line="220" w:lineRule="atLeast"/>
        <w:ind w:firstLine="227"/>
        <w:jc w:val="both"/>
        <w:textAlignment w:val="baseline"/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  <w:t>Бібліографічний список</w:t>
      </w:r>
    </w:p>
    <w:p w:rsidR="001202D6" w:rsidRPr="00887C6A" w:rsidRDefault="001202D6" w:rsidP="001202D6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pacing w:val="-4"/>
          <w:sz w:val="16"/>
          <w:szCs w:val="16"/>
        </w:rPr>
      </w:pPr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1.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Баньковская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 И. Б. Совершенствование мясной продук­тив­ности свиней полтавской мясной породы / И. Б.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Баньковская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, Е. М. Агапова //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Аграрний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вісник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Причорномор’я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: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зб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. наук. пр.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Вип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. 31. С.-г. та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біолог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. науки /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Одеський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держ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.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аграр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. ун-т. – Одесса, 2005. – С. 28–29.</w:t>
      </w:r>
    </w:p>
    <w:p w:rsidR="001202D6" w:rsidRPr="00887C6A" w:rsidRDefault="001202D6" w:rsidP="001202D6">
      <w:pPr>
        <w:suppressAutoHyphens/>
        <w:autoSpaceDE w:val="0"/>
        <w:autoSpaceDN w:val="0"/>
        <w:adjustRightInd w:val="0"/>
        <w:spacing w:line="180" w:lineRule="atLeast"/>
        <w:ind w:firstLine="227"/>
        <w:jc w:val="distribute"/>
        <w:textAlignment w:val="baseline"/>
        <w:rPr>
          <w:rFonts w:ascii="DINPro-Regular" w:hAnsi="DINPro-Regular" w:cs="DINPro-Regular"/>
          <w:color w:val="000000"/>
          <w:spacing w:val="-4"/>
          <w:sz w:val="16"/>
          <w:szCs w:val="16"/>
        </w:rPr>
      </w:pPr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2.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Волощик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 xml:space="preserve"> П. Стресс-чувствительность хрячков / П. </w:t>
      </w:r>
      <w:proofErr w:type="spellStart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Волощик</w:t>
      </w:r>
      <w:proofErr w:type="spellEnd"/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, Н.</w:t>
      </w:r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  <w:lang w:val="en-GB"/>
        </w:rPr>
        <w:t> </w:t>
      </w:r>
      <w:r w:rsidRPr="00887C6A">
        <w:rPr>
          <w:rFonts w:ascii="DINPro-Regular" w:hAnsi="DINPro-Regular" w:cs="DINPro-Regular"/>
          <w:color w:val="000000"/>
          <w:spacing w:val="-4"/>
          <w:sz w:val="16"/>
          <w:szCs w:val="16"/>
        </w:rPr>
        <w:t>Дмитриева, Х. Юсупов [и др.] // Свиноводство. – 1983. – № 3. – С. 32–33.</w:t>
      </w:r>
    </w:p>
    <w:p w:rsidR="001202D6" w:rsidRPr="00887C6A" w:rsidRDefault="001202D6" w:rsidP="001202D6">
      <w:pPr>
        <w:tabs>
          <w:tab w:val="left" w:pos="720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3.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Церенюк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О. М.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Ефект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гетерозису за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відгодівельними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якос­тями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різних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генотипів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в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умовах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товарного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господарства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/ О. М.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Церенюк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>, М.</w:t>
      </w:r>
      <w:r w:rsidRPr="00887C6A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87C6A">
        <w:rPr>
          <w:rFonts w:ascii="DINPro-Regular" w:hAnsi="DINPro-Regular" w:cs="DINPro-Regular"/>
          <w:color w:val="000000"/>
          <w:sz w:val="16"/>
          <w:szCs w:val="16"/>
        </w:rPr>
        <w:t>Є.</w:t>
      </w:r>
      <w:r w:rsidRPr="00887C6A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Воловик //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Вісник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Інституту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тваринництва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центральних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районів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.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Вип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. 2 / УААН,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Ін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-т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тваринництва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 xml:space="preserve"> ЦР. – </w:t>
      </w:r>
      <w:proofErr w:type="spellStart"/>
      <w:r w:rsidRPr="00887C6A">
        <w:rPr>
          <w:rFonts w:ascii="DINPro-Regular" w:hAnsi="DINPro-Regular" w:cs="DINPro-Regular"/>
          <w:color w:val="000000"/>
          <w:sz w:val="16"/>
          <w:szCs w:val="16"/>
        </w:rPr>
        <w:t>Дніпр</w:t>
      </w:r>
      <w:proofErr w:type="spellEnd"/>
      <w:r w:rsidRPr="00887C6A">
        <w:rPr>
          <w:rFonts w:ascii="DINPro-Regular" w:hAnsi="DINPro-Regular" w:cs="DINPro-Regular"/>
          <w:color w:val="000000"/>
          <w:sz w:val="16"/>
          <w:szCs w:val="16"/>
        </w:rPr>
        <w:t>-к, 2007. – С. 123 – 128.</w:t>
      </w:r>
      <w:r w:rsidRPr="00C7509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актуальними.</w:t>
      </w:r>
    </w:p>
    <w:p w:rsidR="001202D6" w:rsidRPr="00887C6A" w:rsidRDefault="001202D6" w:rsidP="001202D6">
      <w:pPr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Метою досліджень було визначення параметрів оцінки свиней з позиції оптимальної взаємодії їх генотипів та специфіки середовища.</w:t>
      </w:r>
    </w:p>
    <w:p w:rsidR="001202D6" w:rsidRPr="00887C6A" w:rsidRDefault="001202D6" w:rsidP="001202D6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87C6A">
        <w:rPr>
          <w:rFonts w:ascii="SchoolBookCTT" w:hAnsi="SchoolBookCTT" w:cs="SchoolBookCTT"/>
          <w:b/>
          <w:bCs/>
          <w:color w:val="000000"/>
          <w:spacing w:val="-2"/>
          <w:sz w:val="20"/>
          <w:szCs w:val="20"/>
          <w:lang w:val="uk-UA"/>
        </w:rPr>
        <w:t>Матеріал і методика.</w:t>
      </w:r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Для вивчення питання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стресостійкості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, в умовах органічного виробництва було сформовано 3 групи поросят з різною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(критерій ССТ [3]), у кількості по 20 голів в кожній. Перед переведенням на відгодівлю кожна з груп була рівномірно розподілена по 10 голів. Відповідно до схеми досліду три групи поросят з різною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стресостійкістю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, що виступали в якості контролю утримувались у приміщеннях, а 3 дослідні</w:t>
      </w:r>
    </w:p>
    <w:p w:rsidR="00A76681" w:rsidRDefault="001202D6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D6"/>
    <w:rsid w:val="001202D6"/>
    <w:rsid w:val="00445505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359F2-A060-4474-B45A-6D4765F8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2017-04-04T11:43:00Z</dcterms:created>
  <dcterms:modified xsi:type="dcterms:W3CDTF">2017-04-04T11:47:00Z</dcterms:modified>
</cp:coreProperties>
</file>