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7C7" w:rsidRPr="00887C6A" w:rsidRDefault="005C17C7" w:rsidP="005C17C7">
      <w:pPr>
        <w:suppressAutoHyphens/>
        <w:autoSpaceDE w:val="0"/>
        <w:autoSpaceDN w:val="0"/>
        <w:adjustRightInd w:val="0"/>
        <w:spacing w:line="220" w:lineRule="atLeast"/>
        <w:jc w:val="both"/>
        <w:textAlignment w:val="baseline"/>
        <w:rPr>
          <w:rFonts w:ascii="DINPro-Regular" w:hAnsi="DINPro-Regular" w:cs="DINPro-Regular"/>
          <w:color w:val="000000"/>
          <w:sz w:val="18"/>
          <w:szCs w:val="18"/>
          <w:lang w:val="uk-UA"/>
        </w:rPr>
      </w:pPr>
      <w:r w:rsidRPr="00887C6A">
        <w:rPr>
          <w:rFonts w:ascii="DINPro-Regular" w:hAnsi="DINPro-Regular" w:cs="DINPro-Regular"/>
          <w:color w:val="000000"/>
          <w:sz w:val="18"/>
          <w:szCs w:val="18"/>
          <w:lang w:val="uk-UA"/>
        </w:rPr>
        <w:t>УДК 636.27(477):636.064:636.082.4</w:t>
      </w:r>
    </w:p>
    <w:p w:rsidR="005C17C7" w:rsidRPr="00887C6A" w:rsidRDefault="005C17C7" w:rsidP="005C17C7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</w:pPr>
    </w:p>
    <w:p w:rsidR="005C17C7" w:rsidRPr="00887C6A" w:rsidRDefault="005C17C7" w:rsidP="005C17C7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887C6A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>ВІК ПЕРШОГО ОТЕЛЕННЯ ТЕЛИЦЬ</w:t>
      </w:r>
    </w:p>
    <w:p w:rsidR="005C17C7" w:rsidRPr="00887C6A" w:rsidRDefault="005C17C7" w:rsidP="005C17C7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887C6A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>ЗАЛЕЖНО ВІД ЇХ ЕТОЛОГІЧНИХ ОСОБЛИВОСТЕЙ</w:t>
      </w:r>
    </w:p>
    <w:p w:rsidR="005C17C7" w:rsidRPr="00887C6A" w:rsidRDefault="005C17C7" w:rsidP="005C17C7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</w:pPr>
    </w:p>
    <w:p w:rsidR="005C17C7" w:rsidRPr="00887C6A" w:rsidRDefault="005C17C7" w:rsidP="005C17C7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887C6A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О .В. Денисюк,</w:t>
      </w:r>
      <w:r w:rsidRPr="00887C6A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кандидат сільськогосподарських наук,</w:t>
      </w:r>
    </w:p>
    <w:p w:rsidR="005C17C7" w:rsidRPr="00887C6A" w:rsidRDefault="005C17C7" w:rsidP="005C17C7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887C6A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Т .В. </w:t>
      </w:r>
      <w:proofErr w:type="spellStart"/>
      <w:r w:rsidRPr="00887C6A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Маршалкіна</w:t>
      </w:r>
      <w:proofErr w:type="spellEnd"/>
      <w:r w:rsidRPr="00887C6A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,</w:t>
      </w:r>
      <w:r w:rsidRPr="00887C6A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кандидат ветеринарних наук</w:t>
      </w:r>
    </w:p>
    <w:p w:rsidR="005C17C7" w:rsidRPr="00887C6A" w:rsidRDefault="005C17C7" w:rsidP="005C17C7">
      <w:pPr>
        <w:rPr>
          <w:lang w:val="uk-UA"/>
        </w:rPr>
      </w:pPr>
      <w:r w:rsidRPr="00887C6A">
        <w:rPr>
          <w:rFonts w:ascii="DINPro-Medium" w:hAnsi="DINPro-Medium" w:cs="DINPro-Medium"/>
          <w:color w:val="000000"/>
          <w:sz w:val="20"/>
          <w:szCs w:val="20"/>
          <w:lang w:val="uk-UA"/>
        </w:rPr>
        <w:t>ДУ Інститут зернових культур НААН України</w:t>
      </w:r>
    </w:p>
    <w:p w:rsidR="005C17C7" w:rsidRPr="00887C6A" w:rsidRDefault="005C17C7" w:rsidP="005C17C7">
      <w:pPr>
        <w:rPr>
          <w:lang w:val="uk-UA"/>
        </w:rPr>
      </w:pPr>
    </w:p>
    <w:p w:rsidR="005C17C7" w:rsidRPr="00887C6A" w:rsidRDefault="005C17C7" w:rsidP="005C17C7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Наведено результати досліджень відтворювальної здатності телиць залежно від елементів поведінки. Встановлено високий кореляційний зв’язок (r=0,712) між віком першого отелення та індексом функціональної активності рухових дій.</w:t>
      </w: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</w:p>
    <w:p w:rsidR="005C17C7" w:rsidRPr="00887C6A" w:rsidRDefault="005C17C7" w:rsidP="005C17C7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  <w:t>Ключові слова:</w:t>
      </w:r>
      <w:r w:rsidRPr="00887C6A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телиці, поведінка, вік першого отелення.</w:t>
      </w:r>
    </w:p>
    <w:p w:rsidR="005C17C7" w:rsidRPr="00887C6A" w:rsidRDefault="005C17C7" w:rsidP="005C17C7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</w:p>
    <w:p w:rsidR="005C17C7" w:rsidRPr="00887C6A" w:rsidRDefault="005C17C7" w:rsidP="005C17C7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Інтенсивне ведення м’ясного скотарства нерозривно пов’язане із необхідністю забезпечення високого рівня відтворення поголів’я. Це неможливо досягти без врахуванням особливостей тварин, які визначають напрям їх розвитку в онтогенезі. Використання принципів етології дозволяє створювати для худоби оптимальні умови і цим самим сприяє підвищенню їх продуктивності та відтворювальної здатності (</w:t>
      </w: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Скрипниченко</w:t>
      </w:r>
      <w:proofErr w:type="spellEnd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М. П., 1979, Олійник С. О., 2012).</w:t>
      </w:r>
    </w:p>
    <w:p w:rsidR="005C17C7" w:rsidRPr="00887C6A" w:rsidRDefault="005C17C7" w:rsidP="005C17C7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Таким чином, метою досліджень є визначення ступеня прояву статевих інстинктів у ремонтних телиць залежно від їх етологічних особливостей. </w:t>
      </w:r>
    </w:p>
    <w:p w:rsidR="005C17C7" w:rsidRPr="00887C6A" w:rsidRDefault="005C17C7" w:rsidP="005C17C7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b/>
          <w:bCs/>
          <w:color w:val="000000"/>
          <w:spacing w:val="-2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Об’єктом досліджень були етологічні реакції телиць української м’ясної породи (n=31), що належать ДП ДГ «</w:t>
      </w: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Поливанівка</w:t>
      </w:r>
      <w:proofErr w:type="spellEnd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» Дніпропетровської області та показники їх репродуктивної здатності. Технологія утримання – безприв’язна при груповому утриманні на прифермських </w:t>
      </w: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вигульно</w:t>
      </w:r>
      <w:proofErr w:type="spellEnd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-годівельних майданчиках (в теплу пору року) та прив’язна в приміщеннях (в холодну пору року). </w:t>
      </w:r>
    </w:p>
    <w:p w:rsidR="005C17C7" w:rsidRPr="00887C6A" w:rsidRDefault="005C17C7" w:rsidP="005C17C7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Годівля проводилася традиційними для степової зони кормами: зелена маса люцерни, силос кукурудзяний, сіно люцернове, солома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ячнева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концентровані корми згідно норм. </w:t>
      </w:r>
    </w:p>
    <w:p w:rsidR="005C17C7" w:rsidRPr="00887C6A" w:rsidRDefault="005C17C7" w:rsidP="005C17C7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pacing w:val="5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pacing w:val="5"/>
          <w:sz w:val="20"/>
          <w:szCs w:val="20"/>
          <w:lang w:val="uk-UA"/>
        </w:rPr>
        <w:t xml:space="preserve">Основні етологічні реакції худоби оцінювали протягом дня шляхом проведення спостережень із використанням азбуки елементів поведінки (Зубець М. В., </w:t>
      </w:r>
      <w:proofErr w:type="spellStart"/>
      <w:r w:rsidRPr="00887C6A">
        <w:rPr>
          <w:rFonts w:ascii="SchoolBookCTT" w:hAnsi="SchoolBookCTT" w:cs="SchoolBookCTT"/>
          <w:color w:val="000000"/>
          <w:spacing w:val="5"/>
          <w:sz w:val="20"/>
          <w:szCs w:val="20"/>
          <w:lang w:val="uk-UA"/>
        </w:rPr>
        <w:t>Токарев</w:t>
      </w:r>
      <w:proofErr w:type="spellEnd"/>
      <w:r w:rsidRPr="00887C6A">
        <w:rPr>
          <w:rFonts w:ascii="SchoolBookCTT" w:hAnsi="SchoolBookCTT" w:cs="SchoolBookCTT"/>
          <w:color w:val="000000"/>
          <w:spacing w:val="5"/>
          <w:sz w:val="20"/>
          <w:szCs w:val="20"/>
          <w:lang w:val="uk-UA"/>
        </w:rPr>
        <w:t xml:space="preserve"> Н. Ф., </w:t>
      </w:r>
      <w:proofErr w:type="spellStart"/>
      <w:r w:rsidRPr="00887C6A">
        <w:rPr>
          <w:rFonts w:ascii="SchoolBookCTT" w:hAnsi="SchoolBookCTT" w:cs="SchoolBookCTT"/>
          <w:color w:val="000000"/>
          <w:spacing w:val="5"/>
          <w:sz w:val="20"/>
          <w:szCs w:val="20"/>
          <w:lang w:val="uk-UA"/>
        </w:rPr>
        <w:t>Винничук</w:t>
      </w:r>
      <w:proofErr w:type="spellEnd"/>
      <w:r w:rsidRPr="00887C6A">
        <w:rPr>
          <w:rFonts w:ascii="SchoolBookCTT" w:hAnsi="SchoolBookCTT" w:cs="SchoolBookCTT"/>
          <w:color w:val="000000"/>
          <w:spacing w:val="5"/>
          <w:sz w:val="20"/>
          <w:szCs w:val="20"/>
          <w:lang w:val="uk-UA"/>
        </w:rPr>
        <w:t xml:space="preserve"> Д. Т., 1996). </w:t>
      </w:r>
    </w:p>
    <w:p w:rsidR="005C17C7" w:rsidRPr="00887C6A" w:rsidRDefault="005C17C7" w:rsidP="005C17C7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Статистичну обробку результатів досліджень та розподіл тварин на групи (класи) проводили за показниками коефіцієнтів функціональної активності рухової поведінки за К. К.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Меркур’євою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(1970).</w:t>
      </w:r>
    </w:p>
    <w:p w:rsidR="005C17C7" w:rsidRPr="00887C6A" w:rsidRDefault="005C17C7" w:rsidP="005C17C7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Статева поведінка у телиць почала проявлятись у 6-місячному віці (підвищена збудливість навіть під час поїдання корму) і продовжувалась до 12-місячного віку (спроби імітації спарювання) з деякою циклічністю. Визначено, що телицям, які належали до категорії “дуже активні” був характерний більш виражений прояв статевих інстинктів порівняно з однолітками з інших груп за типом поведінки, що узгоджується з дослідженнями інших науковців (Зубець М. В.,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Токарев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Н. Ф., 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Винничук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 Д. Т., 1996).</w:t>
      </w:r>
    </w:p>
    <w:p w:rsidR="005C17C7" w:rsidRPr="00887C6A" w:rsidRDefault="005C17C7" w:rsidP="005C17C7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В умовах безприв’язного утримання у вигульних майданчиках телиці, які належали до «активної» та «</w:t>
      </w:r>
      <w:proofErr w:type="spellStart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помірно</w:t>
      </w:r>
      <w:proofErr w:type="spellEnd"/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активної» груп, за типом активності, мали вищі показники живої маси у віці шість місяців і достовірно переважали одноліток, які належали до групи «дуже активні» відповідно на 39, </w:t>
      </w:r>
      <w:smartTag w:uri="urn:schemas-microsoft-com:office:smarttags" w:element="metricconverter">
        <w:smartTagPr>
          <w:attr w:name="ProductID" w:val="8 кг"/>
        </w:smartTagPr>
        <w:r w:rsidRPr="00887C6A">
          <w:rPr>
            <w:rFonts w:ascii="SchoolBookCTT" w:hAnsi="SchoolBookCTT" w:cs="SchoolBookCTT"/>
            <w:color w:val="000000"/>
            <w:spacing w:val="-2"/>
            <w:sz w:val="20"/>
            <w:szCs w:val="20"/>
            <w:lang w:val="uk-UA"/>
          </w:rPr>
          <w:t>8 кг</w:t>
        </w:r>
      </w:smartTag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(Р&gt;0,999) та </w:t>
      </w:r>
      <w:smartTag w:uri="urn:schemas-microsoft-com:office:smarttags" w:element="metricconverter">
        <w:smartTagPr>
          <w:attr w:name="ProductID" w:val="30,7 кг"/>
        </w:smartTagPr>
        <w:r w:rsidRPr="00887C6A">
          <w:rPr>
            <w:rFonts w:ascii="SchoolBookCTT" w:hAnsi="SchoolBookCTT" w:cs="SchoolBookCTT"/>
            <w:color w:val="000000"/>
            <w:spacing w:val="-2"/>
            <w:sz w:val="20"/>
            <w:szCs w:val="20"/>
            <w:lang w:val="uk-UA"/>
          </w:rPr>
          <w:t>30,7 кг</w:t>
        </w:r>
      </w:smartTag>
      <w:r w:rsidRPr="00887C6A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(Р&gt;0,99). </w:t>
      </w:r>
    </w:p>
    <w:p w:rsidR="005C17C7" w:rsidRPr="00887C6A" w:rsidRDefault="005C17C7" w:rsidP="005C17C7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Після відлучення телички на кормові дії витрачали – 419,1±10,24 хв, рухові – 48,3±2,81 хв (9 % від загального часу спостережень), і гальмівні – 132,7±6,42 хв. В тому числі на поїдання кормів – 251,5±9,83; жуйку – 159,3±5,34 хв. Процес жуйки у положенні лежачи тривав на 51 хв або 52% довше, ніж в положенні стоячи. </w:t>
      </w:r>
    </w:p>
    <w:p w:rsidR="005C17C7" w:rsidRPr="00887C6A" w:rsidRDefault="005C17C7" w:rsidP="005C17C7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Характеризуючи відтворювальну здатність первісток, встановлено середній по стаду вік першого отелення – 1027±56,1 днів.</w:t>
      </w:r>
    </w:p>
    <w:p w:rsidR="005C17C7" w:rsidRPr="00887C6A" w:rsidRDefault="005C17C7" w:rsidP="005C17C7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Тварини, які належали до групи «дуже активні» (М</w:t>
      </w:r>
      <w:r w:rsidRPr="00887C6A">
        <w:rPr>
          <w:rFonts w:ascii="SchoolBookCTT" w:hAnsi="SchoolBookCTT" w:cs="SchoolBookCTT"/>
          <w:color w:val="000000"/>
          <w:sz w:val="20"/>
          <w:szCs w:val="20"/>
          <w:vertAlign w:val="superscript"/>
          <w:lang w:val="uk-UA"/>
        </w:rPr>
        <w:t>+</w:t>
      </w: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) відповідно на 13,3 (Р&gt;0,999) і 26,6 (Р&gt;0,999) хв довше проводили час в русі ніж ровесниці з груп «активні» та «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помірно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активні». Проте найменше в них тривав процес жуйки на 8,3 (Р&gt;0,95) та 7,6 (Р&gt;0,95) хв відповідно. Ці телиці хоч і недостовірно, але витрачали більше часу і на гальмівні дії, особливо на відпочинок стоячи. У порівнянні з однолітками із групи «активні» вони споживали більше кормів. За іншими етологічними реакціями різниця незначна та недостовірна.</w:t>
      </w:r>
    </w:p>
    <w:p w:rsidR="005C17C7" w:rsidRPr="00887C6A" w:rsidRDefault="005C17C7" w:rsidP="005C17C7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При розподілі худоби на класи спостерігалась тенденція до кращої відтворювальної здатності у тварин, які належали до «дуже активної» за руховими діями групи. Так, найменшим віком І отелення (920,0±101,69 днів) </w:t>
      </w: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lastRenderedPageBreak/>
        <w:t>відзначались первістки з М</w:t>
      </w:r>
      <w:r w:rsidRPr="00887C6A">
        <w:rPr>
          <w:rFonts w:ascii="SchoolBookCTT" w:hAnsi="SchoolBookCTT" w:cs="SchoolBookCTT"/>
          <w:color w:val="000000"/>
          <w:sz w:val="20"/>
          <w:szCs w:val="20"/>
          <w:vertAlign w:val="superscript"/>
          <w:lang w:val="uk-UA"/>
        </w:rPr>
        <w:t>+</w:t>
      </w: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класу («дуже активні»). У одноліток з М</w:t>
      </w:r>
      <w:r w:rsidRPr="00887C6A">
        <w:rPr>
          <w:rFonts w:ascii="SchoolBookCTT" w:hAnsi="SchoolBookCTT" w:cs="SchoolBookCTT"/>
          <w:color w:val="000000"/>
          <w:sz w:val="20"/>
          <w:szCs w:val="20"/>
          <w:vertAlign w:val="superscript"/>
          <w:lang w:val="uk-UA"/>
        </w:rPr>
        <w:t>0</w:t>
      </w: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 М</w:t>
      </w:r>
      <w:r w:rsidRPr="00887C6A">
        <w:rPr>
          <w:rFonts w:ascii="SchoolBookCTT" w:hAnsi="SchoolBookCTT" w:cs="SchoolBookCTT"/>
          <w:color w:val="000000"/>
          <w:sz w:val="20"/>
          <w:szCs w:val="20"/>
          <w:vertAlign w:val="superscript"/>
          <w:lang w:val="uk-UA"/>
        </w:rPr>
        <w:t xml:space="preserve">- </w:t>
      </w: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цей показник становив 1088,8±89,23 та 1053,0±111,13 відповідно. </w:t>
      </w:r>
    </w:p>
    <w:p w:rsidR="005C17C7" w:rsidRPr="00887C6A" w:rsidRDefault="005C17C7" w:rsidP="005C17C7">
      <w:pPr>
        <w:tabs>
          <w:tab w:val="left" w:pos="0"/>
          <w:tab w:val="left" w:pos="851"/>
        </w:tabs>
        <w:autoSpaceDE w:val="0"/>
        <w:autoSpaceDN w:val="0"/>
        <w:adjustRightInd w:val="0"/>
        <w:spacing w:line="288" w:lineRule="auto"/>
        <w:ind w:firstLine="227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Між величинами індексу функціональної активності рухових дій та віком при І отеленні встановлений прямий кореляційний зв’язок у групах «</w:t>
      </w:r>
      <w:proofErr w:type="spellStart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помірно</w:t>
      </w:r>
      <w:proofErr w:type="spellEnd"/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активні», «активні» і «дуже активні» він становив: r=0,202; r= 0,613 та r=0,712 відповідно.</w:t>
      </w:r>
    </w:p>
    <w:p w:rsidR="005C17C7" w:rsidRPr="00887C6A" w:rsidRDefault="005C17C7" w:rsidP="005C17C7">
      <w:pPr>
        <w:rPr>
          <w:lang w:val="uk-UA"/>
        </w:rPr>
      </w:pPr>
      <w:r w:rsidRPr="00887C6A">
        <w:rPr>
          <w:rFonts w:ascii="SchoolBookCTT" w:hAnsi="SchoolBookCTT" w:cs="SchoolBookCTT"/>
          <w:color w:val="000000"/>
          <w:sz w:val="20"/>
          <w:szCs w:val="20"/>
          <w:lang w:val="uk-UA"/>
        </w:rPr>
        <w:t>Враховуючи вище наведене, відбір ремонтного молодняку за типом активності рухової поведінки, а саме – «дуже активних» (Т=0,105±0,002) сприятиме покращенню відтворювальної здатності великої рогатої худоби м’ясного напрямку продуктивності.</w:t>
      </w:r>
    </w:p>
    <w:p w:rsidR="00A76681" w:rsidRPr="005C17C7" w:rsidRDefault="005C17C7">
      <w:pPr>
        <w:rPr>
          <w:lang w:val="uk-UA"/>
        </w:rPr>
      </w:pPr>
      <w:bookmarkStart w:id="0" w:name="_GoBack"/>
      <w:bookmarkEnd w:id="0"/>
    </w:p>
    <w:sectPr w:rsidR="00A76681" w:rsidRPr="005C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C7"/>
    <w:rsid w:val="00445505"/>
    <w:rsid w:val="005C17C7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586B2-AA0C-4CD2-8FB0-3FD89FF6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2017-04-04T12:29:00Z</dcterms:created>
  <dcterms:modified xsi:type="dcterms:W3CDTF">2017-04-04T12:30:00Z</dcterms:modified>
</cp:coreProperties>
</file>