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FF2" w:rsidRPr="008D7D81" w:rsidRDefault="004A7FF2" w:rsidP="004A7FF2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8D7D8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636.932.3.084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4A7FF2" w:rsidRPr="008D7D81" w:rsidRDefault="004A7FF2" w:rsidP="004A7FF2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ЕФЕКТИВНІСТЬ ЗГОДОВУВАННЯ МІКРОЕЛЕМЕНТІВ ОРГАНІЧНОГО ПОХОДЖЕННЯ ГОЛШТИНСЬКИМ КОРОВАМ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4A7FF2" w:rsidRPr="008D7D81" w:rsidRDefault="004A7FF2" w:rsidP="004A7FF2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А. В. </w:t>
      </w:r>
      <w:proofErr w:type="spellStart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Хавтуріна</w:t>
      </w:r>
      <w:proofErr w:type="spellEnd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</w:t>
      </w:r>
    </w:p>
    <w:p w:rsidR="004A7FF2" w:rsidRPr="008D7D81" w:rsidRDefault="004A7FF2" w:rsidP="004A7FF2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>Дніпропетровський державний аграрно-економічний університет</w:t>
      </w:r>
    </w:p>
    <w:p w:rsidR="004A7FF2" w:rsidRPr="008D7D81" w:rsidRDefault="004A7FF2" w:rsidP="004A7FF2">
      <w:pPr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Отримані дані під час проведення науково-господарського досліду, свідчать, що використання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преміксу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зі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змішанолігандними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комплексами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Zn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Cu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і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Мn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вітчизняного виробництва впливають на підвищення продуктивності корів. Валовий надій молока на корову 4-х відсоткової жирності склав при використанні вітчизняних органічних добавок </w:t>
      </w:r>
      <w:smartTag w:uri="urn:schemas-microsoft-com:office:smarttags" w:element="metricconverter">
        <w:smartTagPr>
          <w:attr w:name="ProductID" w:val="2226 кг"/>
        </w:smartTagPr>
        <w:r w:rsidRPr="008D7D81">
          <w:rPr>
            <w:rFonts w:ascii="SchoolBookCTT" w:hAnsi="SchoolBookCTT" w:cs="SchoolBookCTT"/>
            <w:i/>
            <w:iCs/>
            <w:color w:val="000000"/>
            <w:sz w:val="20"/>
            <w:szCs w:val="20"/>
            <w:lang w:val="uk-UA"/>
          </w:rPr>
          <w:t>2226 кг</w:t>
        </w:r>
      </w:smartTag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на корову за 70 діб досліду, при витратах кормів на </w:t>
      </w:r>
      <w:smartTag w:uri="urn:schemas-microsoft-com:office:smarttags" w:element="metricconverter">
        <w:smartTagPr>
          <w:attr w:name="ProductID" w:val="1 кг"/>
        </w:smartTagPr>
        <w:r w:rsidRPr="008D7D81">
          <w:rPr>
            <w:rFonts w:ascii="SchoolBookCTT" w:hAnsi="SchoolBookCTT" w:cs="SchoolBookCTT"/>
            <w:i/>
            <w:iCs/>
            <w:color w:val="000000"/>
            <w:sz w:val="20"/>
            <w:szCs w:val="20"/>
            <w:lang w:val="uk-UA"/>
          </w:rPr>
          <w:t>1 кг</w:t>
        </w:r>
      </w:smartTag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0, 88 корм. од. відповідно. 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слова:</w:t>
      </w:r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високопродуктивні корови,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премікс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мікроелементи, сульфати,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змішанолігандний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комплекс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Zn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Cu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і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Мn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, молочна продуктивність.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Нестача мікроелементів в раціонах приводить до порушення обміну речовин в організмі тварин, зниження їх продуктивності, якості продукції, імунітету та виникненню різних захворювань [1]. Тому, у годівлі сільськогосподарських тварин для поповнення дефіцитних мікроелементів, застосовують різноманітні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премікси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Низька засвоюваність мікроелементів із хлоридів, сульфатів і оксиди підвищує ризик забруднення навколишнього середовища важкими металами, оскільки вони більшою мірою виділяються з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організму,чим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всмоктуються ним [2].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Тому, одним із засобів покращення використання мікроелементів тваринним організмом, є збільшення застосування в тваринництві мінералів в органічній формі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змішанолігандні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комплекси вітчизняного виробництва.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pacing w:val="-2"/>
          <w:sz w:val="20"/>
          <w:szCs w:val="20"/>
          <w:lang w:val="uk-UA"/>
        </w:rPr>
        <w:t>Мета роботи –</w:t>
      </w: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експериментально обґрунтувати рецептури удосконалених зональних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преміксів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для високопродуктивних корів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голштинської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породи з застосуванням мінеральних добавок вітчизняних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змішанолігандних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комплексів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Zn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Cu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і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Мn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з комплексним вивченням їх впливу на продуктивність, обмін речовин, якість продукції.</w:t>
      </w:r>
    </w:p>
    <w:p w:rsidR="004A7FF2" w:rsidRPr="008D7D81" w:rsidRDefault="004A7FF2" w:rsidP="004A7F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  <w:t xml:space="preserve">Матеріали і методика досліджень.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Науково-господарський дослід проводили на комплексі з виробництва молока ТОВ «Агрофірма ім. Горького» Новомосковського району Дніпропетровської області. Для досліду за принципом аналогів відібрали дві групи корів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голштинської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породи по 10 голів в кожній. </w:t>
      </w:r>
    </w:p>
    <w:p w:rsidR="004A7FF2" w:rsidRPr="008D7D81" w:rsidRDefault="004A7FF2" w:rsidP="004A7F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Піддослідних корів у підготовчий та дослідний періоди годували за однаковими раціонами. Різниця полягала в тому, що протягом 70 днів дослідного періоду, коровам 1-ї контрольної групи згодовували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премікс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підготовчого періоду в складі якого знаходився сульфати Цинку,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Купруму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Мангану, а коровам 2-ї дослідної групи – замість сульфатів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Zn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Cu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Мn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згодовували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змішанолігандні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комплекси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Zn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Cu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Мn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  <w:t>Результати досліджень.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Використання різних джерел мікроелементів в годівлі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голштинських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корів на протязі 70 днів лактації, забезпечило пряму залежність надоїв від цих показників. Найбільш високі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надої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натурального молока під час досліду були у корів дослідної групи в раціоні якої дефіцит мікроелементів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Zn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Cu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Мn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Корови дослідних груп переважали корів аналогів контрольної групи за середньодобовими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надоями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натурального молока на 3,1 кг, або на 9,3 %. У молоці дослідних корів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відмічено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також однозначне збільшення вмісту жиру на 0,06 %. Тому перевага за середньодобовими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надоями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4 % -го молока була також вагомою в порівнянні з контрольною групою і склала в 2-й дослідній групі – 3,2 кг або 11,19 % і була достовірна (P&lt;0,001). </w:t>
      </w:r>
    </w:p>
    <w:p w:rsidR="004A7FF2" w:rsidRPr="008D7D81" w:rsidRDefault="004A7FF2" w:rsidP="004A7F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У молоці корів дослідних груп порівняно з контролем, хоча і не надто помітно, але однозначно зростав вміст білка (3,15 проти 3,12 % у контролі).</w:t>
      </w:r>
    </w:p>
    <w:p w:rsidR="004A7FF2" w:rsidRPr="008D7D81" w:rsidRDefault="004A7FF2" w:rsidP="004A7F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Як показав аналіз отриманих в експерименті даних, від корів контрольної групи за 70 днів досліду отримано </w:t>
      </w:r>
      <w:smartTag w:uri="urn:schemas-microsoft-com:office:smarttags" w:element="metricconverter">
        <w:smartTagPr>
          <w:attr w:name="ProductID" w:val="2338 кг"/>
        </w:smartTagPr>
        <w:r w:rsidRPr="008D7D81">
          <w:rPr>
            <w:rFonts w:ascii="SchoolBookCTT" w:hAnsi="SchoolBookCTT" w:cs="SchoolBookCTT"/>
            <w:color w:val="000000"/>
            <w:spacing w:val="-2"/>
            <w:sz w:val="20"/>
            <w:szCs w:val="20"/>
            <w:lang w:val="uk-UA"/>
          </w:rPr>
          <w:t>2338 кг</w:t>
        </w:r>
      </w:smartTag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молока натуральної жирності, а 2-ї на </w:t>
      </w:r>
      <w:smartTag w:uri="urn:schemas-microsoft-com:office:smarttags" w:element="metricconverter">
        <w:smartTagPr>
          <w:attr w:name="ProductID" w:val="220 кг"/>
        </w:smartTagPr>
        <w:r w:rsidRPr="008D7D81">
          <w:rPr>
            <w:rFonts w:ascii="SchoolBookCTT" w:hAnsi="SchoolBookCTT" w:cs="SchoolBookCTT"/>
            <w:color w:val="000000"/>
            <w:spacing w:val="-2"/>
            <w:sz w:val="20"/>
            <w:szCs w:val="20"/>
            <w:lang w:val="uk-UA"/>
          </w:rPr>
          <w:t>220 кг</w:t>
        </w:r>
      </w:smartTag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або 9,3 % більше. Основним показником, що визначає ефективність виробництва молока, є витрати корму на </w:t>
      </w:r>
      <w:smartTag w:uri="urn:schemas-microsoft-com:office:smarttags" w:element="metricconverter">
        <w:smartTagPr>
          <w:attr w:name="ProductID" w:val="1 кг"/>
        </w:smartTagPr>
        <w:r w:rsidRPr="008D7D81">
          <w:rPr>
            <w:rFonts w:ascii="SchoolBookCTT" w:hAnsi="SchoolBookCTT" w:cs="SchoolBookCTT"/>
            <w:color w:val="000000"/>
            <w:spacing w:val="-2"/>
            <w:sz w:val="20"/>
            <w:szCs w:val="20"/>
            <w:lang w:val="uk-UA"/>
          </w:rPr>
          <w:t>1 кг</w:t>
        </w:r>
      </w:smartTag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молока. Результати проведених досліджень свідчать, що на виробництво молока корів за різного вмісту в раціонах мікроелементів витрати корму на </w:t>
      </w:r>
      <w:smartTag w:uri="urn:schemas-microsoft-com:office:smarttags" w:element="metricconverter">
        <w:smartTagPr>
          <w:attr w:name="ProductID" w:val="1 кг"/>
        </w:smartTagPr>
        <w:r w:rsidRPr="008D7D81">
          <w:rPr>
            <w:rFonts w:ascii="SchoolBookCTT" w:hAnsi="SchoolBookCTT" w:cs="SchoolBookCTT"/>
            <w:color w:val="000000"/>
            <w:spacing w:val="-2"/>
            <w:sz w:val="20"/>
            <w:szCs w:val="20"/>
            <w:lang w:val="uk-UA"/>
          </w:rPr>
          <w:t>1 кг</w:t>
        </w:r>
      </w:smartTag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молока з збільшенням продуктивності знижуються. </w:t>
      </w:r>
    </w:p>
    <w:p w:rsidR="004A7FF2" w:rsidRPr="008D7D81" w:rsidRDefault="004A7FF2" w:rsidP="004A7F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 xml:space="preserve">Так, за період досліду найнижчі витрати корму на </w:t>
      </w:r>
      <w:smartTag w:uri="urn:schemas-microsoft-com:office:smarttags" w:element="metricconverter">
        <w:smartTagPr>
          <w:attr w:name="ProductID" w:val="1 кг"/>
        </w:smartTagPr>
        <w:r w:rsidRPr="008D7D81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 кг</w:t>
        </w:r>
      </w:smartTag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молока 4 %-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ої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жирності спостерігали у корів дослідних групи, яким згодовували раціони з мікроелементами органічного походження. Вони були на 0,88 к. од. або на 11,2 % менше порівняно з контрольною групою.</w:t>
      </w:r>
    </w:p>
    <w:p w:rsidR="004A7FF2" w:rsidRPr="008D7D81" w:rsidRDefault="004A7FF2" w:rsidP="004A7FF2">
      <w:pPr>
        <w:tabs>
          <w:tab w:val="left" w:pos="0"/>
        </w:tabs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  <w:t xml:space="preserve">Висновок.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Кращі показники молочної продуктивності корів та менші затрати кормів на одиницю продукції були отримані в дослідній групі корів за рахунок використання мікроелементів органічного походження, таких як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змішанолігандних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комплексів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Zn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Cu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Мn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</w:p>
    <w:p w:rsidR="004A7FF2" w:rsidRPr="008D7D81" w:rsidRDefault="004A7FF2" w:rsidP="004A7FF2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</w:pPr>
    </w:p>
    <w:p w:rsidR="004A7FF2" w:rsidRPr="008D7D81" w:rsidRDefault="004A7FF2" w:rsidP="004A7FF2">
      <w:pPr>
        <w:suppressAutoHyphens/>
        <w:autoSpaceDE w:val="0"/>
        <w:autoSpaceDN w:val="0"/>
        <w:adjustRightInd w:val="0"/>
        <w:spacing w:line="220" w:lineRule="atLeast"/>
        <w:ind w:firstLine="227"/>
        <w:jc w:val="both"/>
        <w:textAlignment w:val="baseline"/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  <w:t xml:space="preserve">Бібліографічний список </w:t>
      </w:r>
    </w:p>
    <w:p w:rsidR="004A7FF2" w:rsidRPr="008D7D81" w:rsidRDefault="004A7FF2" w:rsidP="004A7FF2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1.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Волосянко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М. И. Высокий уровень кормления животных-условие повышения их продуктивности / М. И.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Волосянко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// Шляхи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розвитку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тваринництва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в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ринкових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умовах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Дніпропетровськ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, 2002. – с.124.</w:t>
      </w:r>
    </w:p>
    <w:p w:rsidR="004A7FF2" w:rsidRPr="008D7D81" w:rsidRDefault="004A7FF2" w:rsidP="004A7FF2">
      <w:pPr>
        <w:rPr>
          <w:rFonts w:ascii="SchoolBookCTT" w:hAnsi="SchoolBookCTT" w:cs="SchoolBookCTT"/>
          <w:color w:val="000000"/>
          <w:sz w:val="20"/>
          <w:szCs w:val="20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2.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Вашкулат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Н. П. Установление уровней содержания тяжелых металлов в почвах Украины / Н. П.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Вашкулат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, В. И.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Пальгов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, Д.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Р.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Спектор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Довкілля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та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здоров’я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. – 2002. – № 2. – С.44–46.</w:t>
      </w:r>
    </w:p>
    <w:p w:rsidR="004A7FF2" w:rsidRPr="008D7D81" w:rsidRDefault="004A7FF2" w:rsidP="004A7FF2">
      <w:pPr>
        <w:rPr>
          <w:rFonts w:ascii="SchoolBookCTT" w:hAnsi="SchoolBookCTT" w:cs="SchoolBookCTT"/>
          <w:color w:val="000000"/>
          <w:sz w:val="20"/>
          <w:szCs w:val="20"/>
        </w:rPr>
      </w:pPr>
    </w:p>
    <w:p w:rsidR="00A76681" w:rsidRDefault="004A7FF2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F2"/>
    <w:rsid w:val="00445505"/>
    <w:rsid w:val="004A7FF2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8C559-BF39-4755-B1B4-E9E4F38C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4048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2017-04-07T06:08:00Z</dcterms:created>
  <dcterms:modified xsi:type="dcterms:W3CDTF">2017-04-07T06:08:00Z</dcterms:modified>
</cp:coreProperties>
</file>