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CC" w:rsidRPr="008D7D81" w:rsidRDefault="009E14CC" w:rsidP="009E14CC">
      <w:pPr>
        <w:rPr>
          <w:rFonts w:ascii="SchoolBookCTT" w:hAnsi="SchoolBookCTT" w:cs="SchoolBookCTT"/>
          <w:color w:val="000000"/>
          <w:sz w:val="20"/>
          <w:szCs w:val="20"/>
        </w:rPr>
      </w:pP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8D7D81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636.4.082.43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textAlignment w:val="center"/>
        <w:rPr>
          <w:rFonts w:ascii="SchoolBookCTT" w:hAnsi="SchoolBookCTT" w:cs="SchoolBookCTT"/>
          <w:b/>
          <w:bCs/>
          <w:caps/>
          <w:color w:val="000000"/>
          <w:sz w:val="20"/>
          <w:szCs w:val="20"/>
          <w:lang w:val="uk-UA"/>
        </w:rPr>
      </w:pP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ЯКІСНІ ПОКАЗНИКИ М’ЯЗОВОЇ ТКАНИНИ МОЛОДНЯКУ СВИНЕЙ,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 xml:space="preserve">ЇХ МІНЛИВІСТЬ ТА КОРЕЛЯЦІЙНИЙ ЗВ’ЯЗОК 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center"/>
        <w:textAlignment w:val="center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В. І. </w:t>
      </w:r>
      <w:proofErr w:type="spellStart"/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Халак</w:t>
      </w:r>
      <w:proofErr w:type="spellEnd"/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,</w:t>
      </w:r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кандидат сільськогосподарських наук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>Державна установа Інститут зернових культур НААН України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Л. П. Гришина,</w:t>
      </w:r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доктор сільськогосподарських наук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>Інститут свинарства і АПВ НААН України,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Ю. М. </w:t>
      </w:r>
      <w:proofErr w:type="spellStart"/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Луник</w:t>
      </w:r>
      <w:proofErr w:type="spellEnd"/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,</w:t>
      </w:r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кандидат сільськогосподарських наук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Львівський національний університет ветеринарної медицини та біотехнологій імені С. З. </w:t>
      </w:r>
      <w:proofErr w:type="spellStart"/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>Гжицького</w:t>
      </w:r>
      <w:proofErr w:type="spellEnd"/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О. М. </w:t>
      </w:r>
      <w:proofErr w:type="spellStart"/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Бордун</w:t>
      </w:r>
      <w:proofErr w:type="spellEnd"/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,</w:t>
      </w:r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кандидат сільськогосподарських наук,</w:t>
      </w:r>
    </w:p>
    <w:p w:rsidR="009E14CC" w:rsidRPr="008D7D81" w:rsidRDefault="009E14CC" w:rsidP="009E14CC">
      <w:pPr>
        <w:rPr>
          <w:rFonts w:ascii="SchoolBookCTT" w:hAnsi="SchoolBookCTT" w:cs="SchoolBookCTT"/>
          <w:color w:val="000000"/>
          <w:sz w:val="20"/>
          <w:szCs w:val="20"/>
        </w:rPr>
      </w:pPr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>Інститут сільського господарства Північного Сходу НААН України</w:t>
      </w:r>
    </w:p>
    <w:p w:rsidR="009E14CC" w:rsidRPr="008D7D81" w:rsidRDefault="009E14CC" w:rsidP="009E14CC">
      <w:pPr>
        <w:rPr>
          <w:rFonts w:ascii="SchoolBookCTT" w:hAnsi="SchoolBookCTT" w:cs="SchoolBookCTT"/>
          <w:color w:val="000000"/>
          <w:sz w:val="20"/>
          <w:szCs w:val="20"/>
        </w:rPr>
      </w:pP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Наведено результати досліджень фізико-хімічних властивостей та хімічного складу найдовшого м’яза спини молодняку свиней, розраховано показники мінливості якісних ознак свинини та рівень кореляційних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зв’язків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між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рН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,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вологоутримуючою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здатністю, вмістом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внутрішньом’язевого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жиру та інтенсивністю забарвлення. Встановлено, що максимальним показником коефіцієнта варіації характеризується показник «вміст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внутрішньом’язевого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жиру» – 44,21 %, а кількість достовірних </w:t>
      </w:r>
      <w:proofErr w:type="spellStart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зв’язків</w:t>
      </w:r>
      <w:proofErr w:type="spellEnd"/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між фізико-хімічними властивостями та хімічним складом найдовшого м’яза спини молодняку свиней становить 20,0 %.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>Ключові слова</w:t>
      </w:r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: свині, м’язова тканина, фізико-хімічні властивості, хімічний склад, мінливість, кореляційний зв’язок.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Створення свиней нових генотипів та підвищення продуктивності існуючих порід передбачають залучення до селекційного процесу тварин зарубіжної селекції </w:t>
      </w:r>
      <w:r w:rsidRPr="008D7D81">
        <w:rPr>
          <w:rFonts w:ascii="SchoolBookCTT" w:hAnsi="SchoolBookCTT" w:cs="SchoolBookCTT"/>
          <w:caps/>
          <w:color w:val="000000"/>
          <w:spacing w:val="-2"/>
          <w:sz w:val="20"/>
          <w:szCs w:val="20"/>
          <w:lang w:val="uk-UA"/>
        </w:rPr>
        <w:t xml:space="preserve">[1–3 </w:t>
      </w:r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та ін.</w:t>
      </w:r>
      <w:r w:rsidRPr="008D7D81">
        <w:rPr>
          <w:rFonts w:ascii="SchoolBookCTT" w:hAnsi="SchoolBookCTT" w:cs="SchoolBookCTT"/>
          <w:caps/>
          <w:color w:val="000000"/>
          <w:spacing w:val="-2"/>
          <w:sz w:val="20"/>
          <w:szCs w:val="20"/>
          <w:lang w:val="uk-UA"/>
        </w:rPr>
        <w:t>]. А</w:t>
      </w:r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ктуальним при цьому залишається питання контролю якості кінцевої продукції – м’яса та сала </w:t>
      </w:r>
      <w:r w:rsidRPr="008D7D81">
        <w:rPr>
          <w:rFonts w:ascii="SchoolBookCTT" w:hAnsi="SchoolBookCTT" w:cs="SchoolBookCTT"/>
          <w:caps/>
          <w:color w:val="000000"/>
          <w:spacing w:val="-2"/>
          <w:sz w:val="20"/>
          <w:szCs w:val="20"/>
          <w:lang w:val="uk-UA"/>
        </w:rPr>
        <w:t xml:space="preserve">[4 </w:t>
      </w:r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та ін.</w:t>
      </w:r>
      <w:r w:rsidRPr="008D7D81">
        <w:rPr>
          <w:rFonts w:ascii="SchoolBookCTT" w:hAnsi="SchoolBookCTT" w:cs="SchoolBookCTT"/>
          <w:caps/>
          <w:color w:val="000000"/>
          <w:spacing w:val="-2"/>
          <w:sz w:val="20"/>
          <w:szCs w:val="20"/>
          <w:lang w:val="uk-UA"/>
        </w:rPr>
        <w:t>].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Мета роботи – дослідити фізико-хімічні властивості та хімічний склад (вміст </w:t>
      </w:r>
      <w:proofErr w:type="spellStart"/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внутрішньом’язевого</w:t>
      </w:r>
      <w:proofErr w:type="spellEnd"/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жиру) найдовшого м’яза спини молодняку свиней великої білої породи зарубіжного походження, розрахувати показники мінливості якісних ознак свинини та рівень кореляційних </w:t>
      </w:r>
      <w:proofErr w:type="spellStart"/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зв’язків</w:t>
      </w:r>
      <w:proofErr w:type="spellEnd"/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між </w:t>
      </w:r>
      <w:proofErr w:type="spellStart"/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рН</w:t>
      </w:r>
      <w:proofErr w:type="spellEnd"/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, </w:t>
      </w:r>
      <w:proofErr w:type="spellStart"/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вологоутримуючої</w:t>
      </w:r>
      <w:proofErr w:type="spellEnd"/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здатністю, інтенсивністю забарвлення та вмістом </w:t>
      </w:r>
      <w:proofErr w:type="spellStart"/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внутрішньом’язевого</w:t>
      </w:r>
      <w:proofErr w:type="spellEnd"/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жиру.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4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b/>
          <w:bCs/>
          <w:color w:val="000000"/>
          <w:spacing w:val="4"/>
          <w:sz w:val="20"/>
          <w:szCs w:val="20"/>
          <w:lang w:val="uk-UA"/>
        </w:rPr>
        <w:t>Матеріал і методи дослідження.</w:t>
      </w:r>
      <w:r w:rsidRPr="008D7D81">
        <w:rPr>
          <w:rFonts w:ascii="SchoolBookCTT" w:hAnsi="SchoolBookCTT" w:cs="SchoolBookCTT"/>
          <w:color w:val="000000"/>
          <w:spacing w:val="4"/>
          <w:sz w:val="20"/>
          <w:szCs w:val="20"/>
          <w:lang w:val="uk-UA"/>
        </w:rPr>
        <w:t xml:space="preserve"> Експериментальну частину досліджень проведено в умовах племінного репродуктора з розведення свиней великої білої породи ТОВ «АФ «</w:t>
      </w:r>
      <w:proofErr w:type="spellStart"/>
      <w:r w:rsidRPr="008D7D81">
        <w:rPr>
          <w:rFonts w:ascii="SchoolBookCTT" w:hAnsi="SchoolBookCTT" w:cs="SchoolBookCTT"/>
          <w:color w:val="000000"/>
          <w:spacing w:val="4"/>
          <w:sz w:val="20"/>
          <w:szCs w:val="20"/>
          <w:lang w:val="uk-UA"/>
        </w:rPr>
        <w:t>Дзержинець</w:t>
      </w:r>
      <w:proofErr w:type="spellEnd"/>
      <w:r w:rsidRPr="008D7D81">
        <w:rPr>
          <w:rFonts w:ascii="SchoolBookCTT" w:hAnsi="SchoolBookCTT" w:cs="SchoolBookCTT"/>
          <w:color w:val="000000"/>
          <w:spacing w:val="4"/>
          <w:sz w:val="20"/>
          <w:szCs w:val="20"/>
          <w:lang w:val="uk-UA"/>
        </w:rPr>
        <w:t>» Дніпропетровської області (контрольна відгодівля молодняку свиней), ТОВ «</w:t>
      </w:r>
      <w:proofErr w:type="spellStart"/>
      <w:r w:rsidRPr="008D7D81">
        <w:rPr>
          <w:rFonts w:ascii="SchoolBookCTT" w:hAnsi="SchoolBookCTT" w:cs="SchoolBookCTT"/>
          <w:color w:val="000000"/>
          <w:spacing w:val="4"/>
          <w:sz w:val="20"/>
          <w:szCs w:val="20"/>
          <w:lang w:val="uk-UA"/>
        </w:rPr>
        <w:t>Глобінський</w:t>
      </w:r>
      <w:proofErr w:type="spellEnd"/>
      <w:r w:rsidRPr="008D7D81">
        <w:rPr>
          <w:rFonts w:ascii="SchoolBookCTT" w:hAnsi="SchoolBookCTT" w:cs="SchoolBookCTT"/>
          <w:color w:val="000000"/>
          <w:spacing w:val="4"/>
          <w:sz w:val="20"/>
          <w:szCs w:val="20"/>
          <w:lang w:val="uk-UA"/>
        </w:rPr>
        <w:t xml:space="preserve"> м’ясокомбінат» Полтавської області (контрольний забій тварин та відбір зразків найдовшого м’яза спини) та лабораторії зоохімічного аналізу Інституту свинарства і АПВ НААН України (дослідження фізико-хімічних властивостей та хімічного складу найдовшого м’яза спини, [5, 6]).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Біометричну обробку одержаних результатів досліджень проведено за методикою Н. А.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Плохинського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[7].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distribute"/>
        <w:textAlignment w:val="center"/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b/>
          <w:bCs/>
          <w:color w:val="000000"/>
          <w:spacing w:val="-5"/>
          <w:sz w:val="20"/>
          <w:szCs w:val="20"/>
          <w:lang w:val="uk-UA"/>
        </w:rPr>
        <w:t>Результати досліджень.</w:t>
      </w:r>
      <w:r w:rsidRPr="008D7D81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 xml:space="preserve"> Аналіз зразків най­дов</w:t>
      </w:r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­шого м’яза спини молодняку свиней під­дос</w:t>
      </w:r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­</w:t>
      </w:r>
      <w:r w:rsidRPr="008D7D81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 xml:space="preserve">лідної групи (n=24) показав, що вміст </w:t>
      </w:r>
      <w:proofErr w:type="spellStart"/>
      <w:r w:rsidRPr="008D7D81">
        <w:rPr>
          <w:rFonts w:ascii="SchoolBookCTT" w:hAnsi="SchoolBookCTT" w:cs="SchoolBookCTT"/>
          <w:color w:val="000000"/>
          <w:spacing w:val="-5"/>
          <w:sz w:val="20"/>
          <w:szCs w:val="20"/>
          <w:lang w:val="uk-UA"/>
        </w:rPr>
        <w:t>внут­рішньо­</w:t>
      </w:r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м’язевого</w:t>
      </w:r>
      <w:proofErr w:type="spellEnd"/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 xml:space="preserve"> жиру становить 1,98±0,179 %,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рН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– 5,62±0,029 одиниць кислотності, ніжність – 9,42±0,295 с,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вологоутримуюча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здатність – 60,03 ±0,179 %, інтенсивність забарвлення – 74,20±2,147 од. екст.</w:t>
      </w:r>
      <w:r w:rsidRPr="008D7D81">
        <w:rPr>
          <w:rFonts w:ascii="Symbol" w:hAnsi="Symbol" w:cs="Symbol"/>
          <w:color w:val="000000"/>
          <w:sz w:val="20"/>
          <w:szCs w:val="20"/>
          <w:lang w:val="uk-UA"/>
        </w:rPr>
        <w:t></w:t>
      </w:r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1000.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Коефіцієнтом варіації зазначених показників коливається від 2,59 (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рН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) до 44,21 % (вміст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внутрішньом’язевого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жиру) (табл. 1). 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180" w:lineRule="atLeast"/>
        <w:textAlignment w:val="baseline"/>
        <w:rPr>
          <w:rFonts w:ascii="DINPro-Bold" w:hAnsi="DINPro-Bold" w:cs="DINPro-Bold"/>
          <w:b/>
          <w:bCs/>
          <w:color w:val="000000"/>
          <w:position w:val="2"/>
          <w:sz w:val="16"/>
          <w:szCs w:val="16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position w:val="2"/>
          <w:sz w:val="16"/>
          <w:szCs w:val="16"/>
          <w:lang w:val="uk-UA"/>
        </w:rPr>
        <w:t xml:space="preserve">1. Показники мінливості фізико-хімічних властивостей та хімічного складу м’язової тканини піддослідних тварин 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6"/>
        <w:gridCol w:w="840"/>
        <w:gridCol w:w="831"/>
      </w:tblGrid>
      <w:tr w:rsidR="009E14CC" w:rsidRPr="008D7D81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0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</w:pPr>
            <w:r w:rsidRPr="008D7D81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  <w:t>Ознаки</w:t>
            </w:r>
            <w:r w:rsidRPr="008D7D81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en-US"/>
              </w:rPr>
              <w:t xml:space="preserve"> </w:t>
            </w:r>
            <w:r w:rsidRPr="008D7D81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  <w:t>та одиниці виміру</w:t>
            </w:r>
          </w:p>
        </w:tc>
        <w:tc>
          <w:tcPr>
            <w:tcW w:w="16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</w:pPr>
            <w:r w:rsidRPr="008D7D81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  <w:t>Біометричні показники</w:t>
            </w:r>
          </w:p>
        </w:tc>
      </w:tr>
      <w:tr w:rsidR="009E14CC" w:rsidRPr="008D7D81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0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4CC" w:rsidRPr="008D7D81" w:rsidRDefault="009E14CC" w:rsidP="00445761">
            <w:pPr>
              <w:autoSpaceDE w:val="0"/>
              <w:autoSpaceDN w:val="0"/>
              <w:adjustRightInd w:val="0"/>
              <w:rPr>
                <w:rFonts w:ascii="SchoolBookCTT" w:hAnsi="SchoolBookCTT"/>
              </w:rPr>
            </w:pP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</w:pPr>
            <w:r w:rsidRPr="008D7D81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  <w:t>σ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</w:pPr>
            <w:r w:rsidRPr="008D7D81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  <w:t>С</w:t>
            </w:r>
            <w:r w:rsidRPr="008D7D81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en-US"/>
              </w:rPr>
              <w:t>v</w:t>
            </w:r>
            <w:r w:rsidRPr="008D7D81">
              <w:rPr>
                <w:rFonts w:ascii="DINPro-Bold" w:hAnsi="DINPro-Bold" w:cs="DINPro-Bold"/>
                <w:b/>
                <w:bCs/>
                <w:color w:val="000000"/>
                <w:position w:val="2"/>
                <w:sz w:val="14"/>
                <w:szCs w:val="14"/>
                <w:lang w:val="uk-UA"/>
              </w:rPr>
              <w:t>,%</w:t>
            </w:r>
          </w:p>
        </w:tc>
      </w:tr>
      <w:tr w:rsidR="009E14CC" w:rsidRPr="008D7D81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08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proofErr w:type="spellStart"/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вологоутримуюча</w:t>
            </w:r>
            <w:proofErr w:type="spellEnd"/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 xml:space="preserve"> здатність, %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5,00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8,33</w:t>
            </w:r>
          </w:p>
        </w:tc>
      </w:tr>
      <w:tr w:rsidR="009E14CC" w:rsidRPr="008D7D81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08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proofErr w:type="spellStart"/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рН</w:t>
            </w:r>
            <w:proofErr w:type="spellEnd"/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, одиниць кислотності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0,14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2,59</w:t>
            </w:r>
          </w:p>
        </w:tc>
      </w:tr>
      <w:tr w:rsidR="009E14CC" w:rsidRPr="008D7D81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308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 xml:space="preserve">інтенсивність забарвлення, од. </w:t>
            </w:r>
            <w:proofErr w:type="spellStart"/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екст</w:t>
            </w:r>
            <w:proofErr w:type="spellEnd"/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. × 1000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10,52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14,17</w:t>
            </w:r>
          </w:p>
        </w:tc>
      </w:tr>
      <w:tr w:rsidR="009E14CC" w:rsidRPr="008D7D81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308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ніжність, с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1,44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15,36</w:t>
            </w:r>
          </w:p>
        </w:tc>
      </w:tr>
      <w:tr w:rsidR="009E14CC" w:rsidRPr="008D7D81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308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lastRenderedPageBreak/>
              <w:t xml:space="preserve">вміст </w:t>
            </w:r>
            <w:proofErr w:type="spellStart"/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внутрішньом’язевого</w:t>
            </w:r>
            <w:proofErr w:type="spellEnd"/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 xml:space="preserve"> жиру, %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0,87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Pr="008D7D81" w:rsidRDefault="009E14CC" w:rsidP="00445761">
            <w:pPr>
              <w:suppressAutoHyphens/>
              <w:autoSpaceDE w:val="0"/>
              <w:autoSpaceDN w:val="0"/>
              <w:adjustRightInd w:val="0"/>
              <w:spacing w:line="180" w:lineRule="atLeast"/>
              <w:jc w:val="center"/>
              <w:textAlignment w:val="baseline"/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</w:pPr>
            <w:r w:rsidRPr="008D7D81">
              <w:rPr>
                <w:rFonts w:ascii="DINPro-Regular" w:hAnsi="DINPro-Regular" w:cs="DINPro-Regular"/>
                <w:color w:val="000000"/>
                <w:position w:val="2"/>
                <w:sz w:val="16"/>
                <w:szCs w:val="16"/>
                <w:lang w:val="uk-UA"/>
              </w:rPr>
              <w:t>44,21</w:t>
            </w:r>
          </w:p>
        </w:tc>
      </w:tr>
    </w:tbl>
    <w:p w:rsidR="009E14CC" w:rsidRDefault="009E14CC" w:rsidP="009E14CC">
      <w:pPr>
        <w:suppressAutoHyphens/>
        <w:autoSpaceDE w:val="0"/>
        <w:autoSpaceDN w:val="0"/>
        <w:adjustRightInd w:val="0"/>
        <w:spacing w:line="288" w:lineRule="auto"/>
        <w:ind w:firstLine="227"/>
        <w:textAlignment w:val="center"/>
        <w:rPr>
          <w:rFonts w:ascii="SchoolBookCTT" w:hAnsi="SchoolBookCTT" w:cs="SchoolBookCTT"/>
          <w:color w:val="000000"/>
          <w:sz w:val="20"/>
          <w:szCs w:val="20"/>
          <w:lang w:val="en-US"/>
        </w:rPr>
      </w:pPr>
    </w:p>
    <w:p w:rsidR="009E14CC" w:rsidRDefault="009E14CC" w:rsidP="009E14CC">
      <w:pPr>
        <w:pStyle w:val="a3"/>
        <w:jc w:val="left"/>
        <w:rPr>
          <w:rFonts w:ascii="DINPro-Bold" w:hAnsi="DINPro-Bold" w:cs="DINPro-Bold"/>
          <w:b/>
          <w:bCs/>
        </w:rPr>
      </w:pPr>
      <w:r>
        <w:rPr>
          <w:rFonts w:ascii="DINPro-Bold" w:hAnsi="DINPro-Bold" w:cs="DINPro-Bold"/>
          <w:b/>
          <w:bCs/>
        </w:rPr>
        <w:t>2. Кореляційні зв’язки між фізико-хімічних властивостями та хімічним складом м’язової тканини молодняку свиней великої білої породи, n=24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9"/>
        <w:gridCol w:w="1700"/>
        <w:gridCol w:w="1187"/>
        <w:gridCol w:w="482"/>
      </w:tblGrid>
      <w:tr w:rsidR="009E14CC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30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Default="009E14CC" w:rsidP="00445761">
            <w:pPr>
              <w:pStyle w:val="a4"/>
            </w:pPr>
            <w:r>
              <w:t>Ознаки</w:t>
            </w:r>
          </w:p>
        </w:tc>
        <w:tc>
          <w:tcPr>
            <w:tcW w:w="16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Default="009E14CC" w:rsidP="00445761">
            <w:pPr>
              <w:pStyle w:val="a4"/>
            </w:pPr>
            <w:r>
              <w:t>Біометричні показники</w:t>
            </w:r>
          </w:p>
        </w:tc>
      </w:tr>
      <w:tr w:rsidR="009E14CC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/>
        </w:trPr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Default="009E14CC" w:rsidP="00445761">
            <w:pPr>
              <w:pStyle w:val="a4"/>
            </w:pPr>
            <w:r>
              <w:t>х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Default="009E14CC" w:rsidP="00445761">
            <w:pPr>
              <w:pStyle w:val="a4"/>
            </w:pPr>
            <w:r>
              <w:t>у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Default="009E14CC" w:rsidP="00445761">
            <w:pPr>
              <w:pStyle w:val="a4"/>
            </w:pPr>
            <w:r>
              <w:rPr>
                <w:lang w:val="en-US"/>
              </w:rPr>
              <w:t>r</w:t>
            </w:r>
            <w:r>
              <w:t xml:space="preserve"> ± </w:t>
            </w:r>
            <w:proofErr w:type="spellStart"/>
            <w:r>
              <w:rPr>
                <w:lang w:val="en-US"/>
              </w:rPr>
              <w:t>Sr</w:t>
            </w:r>
            <w:proofErr w:type="spellEnd"/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Default="009E14CC" w:rsidP="00445761">
            <w:pPr>
              <w:pStyle w:val="a4"/>
            </w:pPr>
            <w:proofErr w:type="spellStart"/>
            <w:r>
              <w:rPr>
                <w:lang w:val="en-US"/>
              </w:rPr>
              <w:t>tr</w:t>
            </w:r>
            <w:proofErr w:type="spellEnd"/>
          </w:p>
        </w:tc>
      </w:tr>
      <w:tr w:rsidR="009E14CC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/>
        </w:trPr>
        <w:tc>
          <w:tcPr>
            <w:tcW w:w="1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  <w:jc w:val="left"/>
            </w:pPr>
            <w:proofErr w:type="spellStart"/>
            <w:r>
              <w:t>рН</w:t>
            </w:r>
            <w:proofErr w:type="spellEnd"/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14CC" w:rsidRDefault="009E14CC" w:rsidP="00445761">
            <w:pPr>
              <w:pStyle w:val="a3"/>
              <w:suppressAutoHyphens w:val="0"/>
              <w:jc w:val="left"/>
            </w:pPr>
            <w:proofErr w:type="spellStart"/>
            <w:r>
              <w:t>вологоутримуюча</w:t>
            </w:r>
            <w:proofErr w:type="spellEnd"/>
            <w:r>
              <w:t xml:space="preserve"> здатність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0,058</w:t>
            </w:r>
            <w:r>
              <w:rPr>
                <w:lang w:val="en-US"/>
              </w:rPr>
              <w:t>±</w:t>
            </w:r>
            <w:r>
              <w:t>0,2128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0,27</w:t>
            </w:r>
          </w:p>
        </w:tc>
      </w:tr>
      <w:tr w:rsidR="009E14CC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1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4CC" w:rsidRDefault="009E14CC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14CC" w:rsidRDefault="009E14CC" w:rsidP="00445761">
            <w:pPr>
              <w:pStyle w:val="a3"/>
              <w:suppressAutoHyphens w:val="0"/>
              <w:jc w:val="left"/>
            </w:pPr>
            <w:r>
              <w:t>ніжність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0,195</w:t>
            </w:r>
            <w:r>
              <w:rPr>
                <w:lang w:val="en-US"/>
              </w:rPr>
              <w:t>±</w:t>
            </w:r>
            <w:r>
              <w:t>0,2091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0,93</w:t>
            </w:r>
          </w:p>
        </w:tc>
      </w:tr>
      <w:tr w:rsidR="009E14CC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1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4CC" w:rsidRDefault="009E14CC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14CC" w:rsidRDefault="009E14CC" w:rsidP="00445761">
            <w:pPr>
              <w:pStyle w:val="a3"/>
              <w:suppressAutoHyphens w:val="0"/>
              <w:jc w:val="left"/>
            </w:pPr>
            <w:r>
              <w:t>інтенсивність забарвлення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0,117</w:t>
            </w:r>
            <w:r>
              <w:rPr>
                <w:lang w:val="en-US"/>
              </w:rPr>
              <w:t>±</w:t>
            </w:r>
            <w:r>
              <w:t>0,2117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0,55</w:t>
            </w:r>
          </w:p>
        </w:tc>
      </w:tr>
      <w:tr w:rsidR="009E14CC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1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4CC" w:rsidRDefault="009E14CC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14CC" w:rsidRDefault="009E14CC" w:rsidP="00445761">
            <w:pPr>
              <w:pStyle w:val="a3"/>
              <w:suppressAutoHyphens w:val="0"/>
              <w:jc w:val="left"/>
            </w:pPr>
            <w:r>
              <w:t xml:space="preserve">вміст </w:t>
            </w:r>
            <w:proofErr w:type="spellStart"/>
            <w:r>
              <w:t>внутрішньом’язевого</w:t>
            </w:r>
            <w:proofErr w:type="spellEnd"/>
            <w:r>
              <w:t xml:space="preserve"> жиру, %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-0,181</w:t>
            </w:r>
            <w:r>
              <w:rPr>
                <w:lang w:val="en-US"/>
              </w:rPr>
              <w:t>±</w:t>
            </w:r>
            <w:r>
              <w:t>0,209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0,86</w:t>
            </w:r>
          </w:p>
        </w:tc>
      </w:tr>
      <w:tr w:rsidR="009E14CC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1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  <w:jc w:val="left"/>
            </w:pPr>
            <w:proofErr w:type="spellStart"/>
            <w:r>
              <w:t>вологоутримуюча</w:t>
            </w:r>
            <w:proofErr w:type="spellEnd"/>
            <w:r>
              <w:t xml:space="preserve"> здатність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14CC" w:rsidRDefault="009E14CC" w:rsidP="00445761">
            <w:pPr>
              <w:pStyle w:val="a3"/>
              <w:suppressAutoHyphens w:val="0"/>
              <w:jc w:val="left"/>
            </w:pPr>
            <w:r>
              <w:t>ніжність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0,400</w:t>
            </w:r>
            <w:r>
              <w:rPr>
                <w:lang w:val="en-US"/>
              </w:rPr>
              <w:t>±</w:t>
            </w:r>
            <w:r>
              <w:t>0,1954*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2,05</w:t>
            </w:r>
          </w:p>
        </w:tc>
      </w:tr>
      <w:tr w:rsidR="009E14CC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1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4CC" w:rsidRDefault="009E14CC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14CC" w:rsidRDefault="009E14CC" w:rsidP="00445761">
            <w:pPr>
              <w:pStyle w:val="a3"/>
              <w:suppressAutoHyphens w:val="0"/>
              <w:jc w:val="left"/>
            </w:pPr>
            <w:r>
              <w:t>інтенсивність забарвлення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0,216</w:t>
            </w:r>
            <w:r>
              <w:rPr>
                <w:lang w:val="en-US"/>
              </w:rPr>
              <w:t>±</w:t>
            </w:r>
            <w:r>
              <w:t>0,2082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1,04</w:t>
            </w:r>
          </w:p>
        </w:tc>
      </w:tr>
      <w:tr w:rsidR="009E14CC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"/>
        </w:trPr>
        <w:tc>
          <w:tcPr>
            <w:tcW w:w="1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4CC" w:rsidRDefault="009E14CC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14CC" w:rsidRDefault="009E14CC" w:rsidP="00445761">
            <w:pPr>
              <w:pStyle w:val="a3"/>
              <w:suppressAutoHyphens w:val="0"/>
              <w:jc w:val="left"/>
            </w:pPr>
            <w:r>
              <w:t xml:space="preserve">вміст </w:t>
            </w:r>
            <w:proofErr w:type="spellStart"/>
            <w:r>
              <w:t>внутрішньо­м’язевого</w:t>
            </w:r>
            <w:proofErr w:type="spellEnd"/>
            <w:r>
              <w:t xml:space="preserve"> жиру, %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0,240±0,2070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1,16</w:t>
            </w:r>
          </w:p>
        </w:tc>
      </w:tr>
      <w:tr w:rsidR="009E14CC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1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  <w:jc w:val="left"/>
            </w:pPr>
            <w:r>
              <w:t>ніжність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14CC" w:rsidRDefault="009E14CC" w:rsidP="00445761">
            <w:pPr>
              <w:pStyle w:val="a3"/>
              <w:suppressAutoHyphens w:val="0"/>
              <w:jc w:val="left"/>
            </w:pPr>
            <w:r>
              <w:t>інтенсивність забарвлення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-0,365</w:t>
            </w:r>
            <w:r>
              <w:rPr>
                <w:lang w:val="en-US"/>
              </w:rPr>
              <w:t>±</w:t>
            </w:r>
            <w:r>
              <w:t>0,1985*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1,84</w:t>
            </w:r>
          </w:p>
        </w:tc>
      </w:tr>
      <w:tr w:rsidR="009E14CC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1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E14CC" w:rsidRDefault="009E14CC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9E14CC" w:rsidRDefault="009E14CC" w:rsidP="00445761">
            <w:pPr>
              <w:pStyle w:val="a3"/>
              <w:suppressAutoHyphens w:val="0"/>
              <w:jc w:val="left"/>
            </w:pPr>
            <w:r>
              <w:t xml:space="preserve">вміст </w:t>
            </w:r>
            <w:proofErr w:type="spellStart"/>
            <w:r>
              <w:t>внутрішньом’язевого</w:t>
            </w:r>
            <w:proofErr w:type="spellEnd"/>
            <w:r>
              <w:t xml:space="preserve"> жиру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-0,211</w:t>
            </w:r>
            <w:r>
              <w:rPr>
                <w:lang w:val="en-US"/>
              </w:rPr>
              <w:t>±</w:t>
            </w:r>
            <w:r>
              <w:t>0,2084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1,01</w:t>
            </w:r>
          </w:p>
        </w:tc>
      </w:tr>
      <w:tr w:rsidR="009E14CC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  <w:jc w:val="left"/>
            </w:pPr>
            <w:r>
              <w:t>інтенсивність забарвлення</w:t>
            </w: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60" w:type="dxa"/>
              <w:right w:w="40" w:type="dxa"/>
            </w:tcMar>
          </w:tcPr>
          <w:p w:rsidR="009E14CC" w:rsidRDefault="009E14CC" w:rsidP="00445761">
            <w:pPr>
              <w:pStyle w:val="a3"/>
              <w:suppressAutoHyphens w:val="0"/>
              <w:jc w:val="left"/>
            </w:pPr>
            <w:r>
              <w:t xml:space="preserve">вміст </w:t>
            </w:r>
            <w:proofErr w:type="spellStart"/>
            <w:r>
              <w:t>внутрішньо­м’язевого</w:t>
            </w:r>
            <w:proofErr w:type="spellEnd"/>
            <w:r>
              <w:t xml:space="preserve"> жиру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0,193</w:t>
            </w:r>
            <w:r>
              <w:rPr>
                <w:lang w:val="en-US"/>
              </w:rPr>
              <w:t>±</w:t>
            </w:r>
            <w:r>
              <w:t>0,2092</w:t>
            </w:r>
          </w:p>
        </w:tc>
        <w:tc>
          <w:tcPr>
            <w:tcW w:w="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60" w:type="dxa"/>
              <w:right w:w="40" w:type="dxa"/>
            </w:tcMar>
            <w:vAlign w:val="center"/>
          </w:tcPr>
          <w:p w:rsidR="009E14CC" w:rsidRDefault="009E14CC" w:rsidP="00445761">
            <w:pPr>
              <w:pStyle w:val="a3"/>
            </w:pPr>
            <w:r>
              <w:t>0,92</w:t>
            </w:r>
          </w:p>
        </w:tc>
      </w:tr>
    </w:tbl>
    <w:p w:rsidR="009E14CC" w:rsidRDefault="009E14CC" w:rsidP="009E14CC">
      <w:pPr>
        <w:pStyle w:val="NoParagraphStyle"/>
        <w:suppressAutoHyphens/>
        <w:ind w:firstLine="227"/>
        <w:rPr>
          <w:rFonts w:ascii="SchoolBookCTT" w:hAnsi="SchoolBookCTT" w:cs="SchoolBookCTT"/>
          <w:i/>
          <w:iCs/>
          <w:sz w:val="20"/>
          <w:szCs w:val="20"/>
          <w:lang w:val="uk-UA"/>
        </w:rPr>
      </w:pPr>
    </w:p>
    <w:p w:rsidR="009E14CC" w:rsidRDefault="009E14CC" w:rsidP="009E14CC">
      <w:pPr>
        <w:pStyle w:val="a3"/>
        <w:jc w:val="left"/>
      </w:pPr>
    </w:p>
    <w:p w:rsidR="009E14CC" w:rsidRDefault="009E14CC" w:rsidP="009E14CC">
      <w:pPr>
        <w:pStyle w:val="a3"/>
        <w:jc w:val="left"/>
      </w:pPr>
      <w:r>
        <w:t>Примітка: * - Р&gt;0,90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288" w:lineRule="auto"/>
        <w:ind w:firstLine="227"/>
        <w:textAlignment w:val="center"/>
        <w:rPr>
          <w:rFonts w:ascii="SchoolBookCTT" w:hAnsi="SchoolBookCTT" w:cs="SchoolBookCTT"/>
          <w:color w:val="000000"/>
          <w:sz w:val="20"/>
          <w:szCs w:val="20"/>
          <w:lang w:val="en-US"/>
        </w:rPr>
      </w:pP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pacing w:val="-4"/>
          <w:sz w:val="20"/>
          <w:szCs w:val="20"/>
          <w:lang w:val="uk-UA"/>
        </w:rPr>
        <w:t>Кількість зразків найдовшого м’яза спини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високої якості за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вологоутримуючою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здатністю та ніжністю становить 8,4 %, вмістом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внутрішньо­м’язевого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жиру – 12,5 %, інтенсивністю забарвлення – 20,8 %. 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5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pacing w:val="5"/>
          <w:sz w:val="20"/>
          <w:szCs w:val="20"/>
          <w:lang w:val="uk-UA"/>
        </w:rPr>
        <w:t xml:space="preserve">Розрахунки коефіцієнта парної кореляції свідчать про наявність прямих (70,0 %) та зворотних (30,0 %) </w:t>
      </w:r>
      <w:proofErr w:type="spellStart"/>
      <w:r w:rsidRPr="008D7D81">
        <w:rPr>
          <w:rFonts w:ascii="SchoolBookCTT" w:hAnsi="SchoolBookCTT" w:cs="SchoolBookCTT"/>
          <w:color w:val="000000"/>
          <w:spacing w:val="5"/>
          <w:sz w:val="20"/>
          <w:szCs w:val="20"/>
          <w:lang w:val="uk-UA"/>
        </w:rPr>
        <w:t>зв’язків</w:t>
      </w:r>
      <w:proofErr w:type="spellEnd"/>
      <w:r w:rsidRPr="008D7D81">
        <w:rPr>
          <w:rFonts w:ascii="SchoolBookCTT" w:hAnsi="SchoolBookCTT" w:cs="SchoolBookCTT"/>
          <w:color w:val="000000"/>
          <w:spacing w:val="5"/>
          <w:sz w:val="20"/>
          <w:szCs w:val="20"/>
          <w:lang w:val="uk-UA"/>
        </w:rPr>
        <w:t xml:space="preserve"> між фізико-хімічних властивостями та хімічним складом м’язової тканини (табл. 2). Залежно від сили 80,0 % </w:t>
      </w:r>
      <w:proofErr w:type="spellStart"/>
      <w:r w:rsidRPr="008D7D81">
        <w:rPr>
          <w:rFonts w:ascii="SchoolBookCTT" w:hAnsi="SchoolBookCTT" w:cs="SchoolBookCTT"/>
          <w:color w:val="000000"/>
          <w:spacing w:val="5"/>
          <w:sz w:val="20"/>
          <w:szCs w:val="20"/>
          <w:lang w:val="uk-UA"/>
        </w:rPr>
        <w:t>зв’язків</w:t>
      </w:r>
      <w:proofErr w:type="spellEnd"/>
      <w:r w:rsidRPr="008D7D81">
        <w:rPr>
          <w:rFonts w:ascii="SchoolBookCTT" w:hAnsi="SchoolBookCTT" w:cs="SchoolBookCTT"/>
          <w:color w:val="000000"/>
          <w:spacing w:val="5"/>
          <w:sz w:val="20"/>
          <w:szCs w:val="20"/>
          <w:lang w:val="uk-UA"/>
        </w:rPr>
        <w:t xml:space="preserve"> є слабкими (-0,211 – +0,240), 20,0 % - середніми або задовільними (-0,365 – +0,400).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Достовірні коефіцієнти парної кореляції встановлено за наступними парами ознак: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вологоутримуюча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здатність </w:t>
      </w:r>
      <w:r w:rsidRPr="008D7D81">
        <w:rPr>
          <w:rFonts w:ascii="Symbol" w:hAnsi="Symbol" w:cs="Symbol"/>
          <w:color w:val="000000"/>
          <w:sz w:val="20"/>
          <w:szCs w:val="20"/>
          <w:lang w:val="uk-UA"/>
        </w:rPr>
        <w:t>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ніжність (r=0,400,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tr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=2,05), ніжність </w:t>
      </w:r>
      <w:r w:rsidRPr="008D7D81">
        <w:rPr>
          <w:rFonts w:ascii="Symbol" w:hAnsi="Symbol" w:cs="Symbol"/>
          <w:color w:val="000000"/>
          <w:sz w:val="20"/>
          <w:szCs w:val="20"/>
          <w:lang w:val="uk-UA"/>
        </w:rPr>
        <w:t>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інтенсивність забарвлення (r=-0,365,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tr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=1,84). 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textAlignment w:val="center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220" w:lineRule="atLeast"/>
        <w:ind w:firstLine="227"/>
        <w:jc w:val="both"/>
        <w:textAlignment w:val="baseline"/>
        <w:rPr>
          <w:rFonts w:ascii="DINPro-Bold" w:hAnsi="DINPro-Bold" w:cs="DINPro-Bold"/>
          <w:b/>
          <w:bCs/>
          <w:color w:val="000000"/>
          <w:position w:val="4"/>
          <w:sz w:val="22"/>
          <w:szCs w:val="22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position w:val="4"/>
          <w:sz w:val="22"/>
          <w:szCs w:val="22"/>
          <w:lang w:val="uk-UA"/>
        </w:rPr>
        <w:t>Висновки: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1. Встановлено, що 70,8 – 83,3 % зразків найдовшого м’яза спини молодняку свиней великої білої породи зарубіжного походження, за фізико-хімічними властивостями та хімічним складом (вміст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внутрішньом’язевого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жиру) відповідають категорії «нормальна якість».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2. Максимальний коефіцієнт варіації встановлено за показником «вміст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внутрішньом’язевого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жиру» – 44,21 %.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3. Кількість достовірних коефіцієнтів парної кореляції між фізико-хімічними властивостями та хімічним складом (вміст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внутрішньом’язевого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жиру) становить 20,0 %. </w:t>
      </w:r>
    </w:p>
    <w:p w:rsidR="009E14CC" w:rsidRPr="008D7D81" w:rsidRDefault="009E14CC" w:rsidP="009E14CC">
      <w:pPr>
        <w:autoSpaceDE w:val="0"/>
        <w:autoSpaceDN w:val="0"/>
        <w:adjustRightInd w:val="0"/>
        <w:spacing w:line="288" w:lineRule="auto"/>
        <w:ind w:firstLine="227"/>
        <w:jc w:val="center"/>
        <w:textAlignment w:val="center"/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</w:pP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220" w:lineRule="atLeast"/>
        <w:ind w:firstLine="227"/>
        <w:jc w:val="both"/>
        <w:textAlignment w:val="baseline"/>
        <w:rPr>
          <w:rFonts w:ascii="DINPro-Bold" w:hAnsi="DINPro-Bold" w:cs="DINPro-Bold"/>
          <w:b/>
          <w:bCs/>
          <w:color w:val="000000"/>
          <w:position w:val="4"/>
          <w:sz w:val="22"/>
          <w:szCs w:val="22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position w:val="4"/>
          <w:sz w:val="22"/>
          <w:szCs w:val="22"/>
          <w:lang w:val="uk-UA"/>
        </w:rPr>
        <w:t xml:space="preserve">Бібліографічний список 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pacing w:val="-3"/>
          <w:sz w:val="16"/>
          <w:szCs w:val="16"/>
        </w:rPr>
      </w:pPr>
      <w:r w:rsidRPr="008D7D81">
        <w:rPr>
          <w:rFonts w:ascii="DINPro-Regular" w:hAnsi="DINPro-Regular" w:cs="DINPro-Regular"/>
          <w:color w:val="000000"/>
          <w:spacing w:val="-3"/>
          <w:sz w:val="16"/>
          <w:szCs w:val="16"/>
        </w:rPr>
        <w:t>1. Бажов</w:t>
      </w:r>
      <w:r w:rsidRPr="008D7D81">
        <w:rPr>
          <w:rFonts w:ascii="DINPro-Regular" w:hAnsi="DINPro-Regular" w:cs="DINPro-Regular"/>
          <w:color w:val="000000"/>
          <w:spacing w:val="-3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pacing w:val="-3"/>
          <w:sz w:val="16"/>
          <w:szCs w:val="16"/>
        </w:rPr>
        <w:t>Г.</w:t>
      </w:r>
      <w:r w:rsidRPr="008D7D81">
        <w:rPr>
          <w:rFonts w:ascii="DINPro-Regular" w:hAnsi="DINPro-Regular" w:cs="DINPro-Regular"/>
          <w:color w:val="000000"/>
          <w:spacing w:val="-3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pacing w:val="-3"/>
          <w:sz w:val="16"/>
          <w:szCs w:val="16"/>
        </w:rPr>
        <w:t>М. Биотехнология интенсивного свиноводства / Г.</w:t>
      </w:r>
      <w:r w:rsidRPr="008D7D81">
        <w:rPr>
          <w:rFonts w:ascii="DINPro-Regular" w:hAnsi="DINPro-Regular" w:cs="DINPro-Regular"/>
          <w:color w:val="000000"/>
          <w:spacing w:val="-3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pacing w:val="-3"/>
          <w:sz w:val="16"/>
          <w:szCs w:val="16"/>
        </w:rPr>
        <w:t>М.</w:t>
      </w:r>
      <w:r w:rsidRPr="008D7D81">
        <w:rPr>
          <w:rFonts w:ascii="DINPro-Regular" w:hAnsi="DINPro-Regular" w:cs="DINPro-Regular"/>
          <w:color w:val="000000"/>
          <w:spacing w:val="-3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pacing w:val="-3"/>
          <w:sz w:val="16"/>
          <w:szCs w:val="16"/>
        </w:rPr>
        <w:t xml:space="preserve">Бажов, В. Н. </w:t>
      </w:r>
      <w:proofErr w:type="spellStart"/>
      <w:r w:rsidRPr="008D7D81">
        <w:rPr>
          <w:rFonts w:ascii="DINPro-Regular" w:hAnsi="DINPro-Regular" w:cs="DINPro-Regular"/>
          <w:color w:val="000000"/>
          <w:spacing w:val="-3"/>
          <w:sz w:val="16"/>
          <w:szCs w:val="16"/>
        </w:rPr>
        <w:t>Комлацкий</w:t>
      </w:r>
      <w:proofErr w:type="spellEnd"/>
      <w:r w:rsidRPr="008D7D81">
        <w:rPr>
          <w:rFonts w:ascii="DINPro-Regular" w:hAnsi="DINPro-Regular" w:cs="DINPro-Regular"/>
          <w:color w:val="000000"/>
          <w:spacing w:val="-3"/>
          <w:sz w:val="16"/>
          <w:szCs w:val="16"/>
        </w:rPr>
        <w:t xml:space="preserve">. – М: </w:t>
      </w:r>
      <w:proofErr w:type="spellStart"/>
      <w:r w:rsidRPr="008D7D81">
        <w:rPr>
          <w:rFonts w:ascii="DINPro-Regular" w:hAnsi="DINPro-Regular" w:cs="DINPro-Regular"/>
          <w:color w:val="000000"/>
          <w:spacing w:val="-3"/>
          <w:sz w:val="16"/>
          <w:szCs w:val="16"/>
        </w:rPr>
        <w:t>Россагропромиздат</w:t>
      </w:r>
      <w:proofErr w:type="spellEnd"/>
      <w:r w:rsidRPr="008D7D81">
        <w:rPr>
          <w:rFonts w:ascii="DINPro-Regular" w:hAnsi="DINPro-Regular" w:cs="DINPro-Regular"/>
          <w:color w:val="000000"/>
          <w:spacing w:val="-3"/>
          <w:sz w:val="16"/>
          <w:szCs w:val="16"/>
        </w:rPr>
        <w:t xml:space="preserve">, 1989. – 269 с. 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2.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Церенюк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О. М.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Якість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м’ясо-сальної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продукції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тварин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із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різною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стресостійкістю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/ О. М.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Церенюк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//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Науково-технічний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proofErr w:type="gramStart"/>
      <w:r w:rsidRPr="008D7D81">
        <w:rPr>
          <w:rFonts w:ascii="DINPro-Regular" w:hAnsi="DINPro-Regular" w:cs="DINPro-Regular"/>
          <w:color w:val="000000"/>
          <w:sz w:val="16"/>
          <w:szCs w:val="16"/>
        </w:rPr>
        <w:t>бюлетень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>.–</w:t>
      </w:r>
      <w:proofErr w:type="gram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№100. –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Харків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>, 2009. – С.491–496.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3.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Медведєв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>В.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О.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Якість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м’яса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та сала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гібридно-лінійного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молодняку свиней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різного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походження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/ В. О.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Медведєв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, О. М.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Церенюк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>, С.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>О.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>Шаповалов, О.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>В.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Акымов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//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Аграрний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вісник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Причорномор’я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>. – №43. – Одеса, 2008. – С.64–69.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</w:rPr>
        <w:lastRenderedPageBreak/>
        <w:t xml:space="preserve">4.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Акімов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>О.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В.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Якість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м’ясної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продукції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свиней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сучасних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генотипів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за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годівлі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з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використанням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об’ємистих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кормів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/ О. В.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Акімов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//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Вісник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аграрної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науки. – №12. – 2013. – С. 39 – 41.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5.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Поливода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А. М.,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Стробыкина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Р. В., Любецкий М. Д. Методика оценки качества продукции убоя у свиней / А.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>М.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Поливода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>, Р.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>В.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Стробыкина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>, М.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>Д.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>Любецкий // Методики исследований по свиноводству. – Харьков, 1977. − С. 48–57.</w:t>
      </w:r>
    </w:p>
    <w:p w:rsidR="009E14CC" w:rsidRPr="008D7D81" w:rsidRDefault="009E14CC" w:rsidP="009E14CC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6.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Поливода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А.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М.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Оцінка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якості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свинини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за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фізико-хімічними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показниками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/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А.М.Поливода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//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Свинарство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. –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Вип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>. 24. - К., Урожай, 1976. – С.57-62.</w:t>
      </w:r>
    </w:p>
    <w:p w:rsidR="009E14CC" w:rsidRPr="008D7D81" w:rsidRDefault="009E14CC" w:rsidP="009E14CC">
      <w:pPr>
        <w:rPr>
          <w:rFonts w:ascii="SchoolBookCTT" w:hAnsi="SchoolBookCTT" w:cs="SchoolBookCTT"/>
          <w:color w:val="000000"/>
          <w:sz w:val="20"/>
          <w:szCs w:val="20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7.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Плохинский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 Н. А.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Руководство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 по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биометрии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 для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зоотехников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 / Н. А. 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Плохинский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. М., Колос, 1969. – 256 с.</w:t>
      </w:r>
    </w:p>
    <w:p w:rsidR="00A76681" w:rsidRDefault="009E14CC">
      <w:bookmarkStart w:id="0" w:name="_GoBack"/>
      <w:bookmarkEnd w:id="0"/>
    </w:p>
    <w:sectPr w:rsidR="00A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CC"/>
    <w:rsid w:val="00445505"/>
    <w:rsid w:val="009E14CC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16603-021A-4507-9A71-DB32BA7B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E14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a3">
    <w:name w:val="текст таблица"/>
    <w:basedOn w:val="NoParagraphStyle"/>
    <w:next w:val="NoParagraphStyle"/>
    <w:rsid w:val="009E14CC"/>
    <w:pPr>
      <w:suppressAutoHyphens/>
      <w:spacing w:line="180" w:lineRule="atLeast"/>
      <w:jc w:val="center"/>
      <w:textAlignment w:val="baseline"/>
    </w:pPr>
    <w:rPr>
      <w:rFonts w:ascii="DINPro-Regular" w:hAnsi="DINPro-Regular" w:cs="DINPro-Regular"/>
      <w:position w:val="2"/>
      <w:sz w:val="16"/>
      <w:szCs w:val="16"/>
      <w:lang w:val="uk-UA"/>
    </w:rPr>
  </w:style>
  <w:style w:type="paragraph" w:customStyle="1" w:styleId="a4">
    <w:name w:val="текст шапка"/>
    <w:basedOn w:val="NoParagraphStyle"/>
    <w:next w:val="NoParagraphStyle"/>
    <w:rsid w:val="009E14CC"/>
    <w:pPr>
      <w:suppressAutoHyphens/>
      <w:spacing w:line="180" w:lineRule="atLeast"/>
      <w:jc w:val="center"/>
      <w:textAlignment w:val="baseline"/>
    </w:pPr>
    <w:rPr>
      <w:rFonts w:ascii="DINPro-Bold" w:hAnsi="DINPro-Bold" w:cs="DINPro-Bold"/>
      <w:b/>
      <w:bCs/>
      <w:position w:val="2"/>
      <w:sz w:val="14"/>
      <w:szCs w:val="1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5564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2017-04-07T06:09:00Z</dcterms:created>
  <dcterms:modified xsi:type="dcterms:W3CDTF">2017-04-07T06:09:00Z</dcterms:modified>
</cp:coreProperties>
</file>