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3BA" w:rsidRPr="008D7D81" w:rsidRDefault="00D713BA" w:rsidP="00D713BA">
      <w:pPr>
        <w:rPr>
          <w:rFonts w:ascii="SchoolBookCTT" w:hAnsi="SchoolBookCTT" w:cs="SchoolBookCTT"/>
          <w:color w:val="000000"/>
          <w:sz w:val="20"/>
          <w:szCs w:val="20"/>
        </w:rPr>
      </w:pP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220" w:lineRule="atLeast"/>
        <w:jc w:val="both"/>
        <w:textAlignment w:val="baseline"/>
        <w:rPr>
          <w:rFonts w:ascii="DINPro-Regular" w:hAnsi="DINPro-Regular" w:cs="DINPro-Regular"/>
          <w:color w:val="000000"/>
          <w:sz w:val="18"/>
          <w:szCs w:val="18"/>
          <w:lang w:val="uk-UA"/>
        </w:rPr>
      </w:pPr>
      <w:r w:rsidRPr="008D7D81">
        <w:rPr>
          <w:rFonts w:ascii="DINPro-Regular" w:hAnsi="DINPro-Regular" w:cs="DINPro-Regular"/>
          <w:color w:val="000000"/>
          <w:sz w:val="18"/>
          <w:szCs w:val="18"/>
          <w:lang w:val="uk-UA"/>
        </w:rPr>
        <w:t>УДК 636.4.082.43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textAlignment w:val="center"/>
        <w:rPr>
          <w:rFonts w:ascii="SchoolBookCTT" w:hAnsi="SchoolBookCTT" w:cs="SchoolBookCTT"/>
          <w:b/>
          <w:bCs/>
          <w:caps/>
          <w:color w:val="000000"/>
          <w:sz w:val="20"/>
          <w:szCs w:val="20"/>
          <w:lang w:val="uk-UA"/>
        </w:rPr>
      </w:pP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 xml:space="preserve">ЗООТЕХНІЧНА ТА ЕКОНОМІЧНА ОЦІНКА 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>ВИКОРИСТАННЯ СВИНОМАТОК РІЗНИХ КЛАСІВ РОЗПОДІЛУ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300" w:lineRule="atLeast"/>
        <w:jc w:val="center"/>
        <w:textAlignment w:val="baseline"/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8"/>
          <w:szCs w:val="28"/>
          <w:lang w:val="uk-UA"/>
        </w:rPr>
        <w:t xml:space="preserve">ЗА КОЕФІЦІЄНТОМ ІНТЕНСИВНОСТІ СПАДУ РОСТУ 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220" w:lineRule="atLeast"/>
        <w:jc w:val="center"/>
        <w:textAlignment w:val="baseline"/>
        <w:rPr>
          <w:rFonts w:ascii="DINPro-Medium" w:hAnsi="DINPro-Medium" w:cs="DINPro-Medium"/>
          <w:color w:val="000000"/>
          <w:sz w:val="20"/>
          <w:szCs w:val="20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 xml:space="preserve">В. І. </w:t>
      </w:r>
      <w:proofErr w:type="spellStart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Халак</w:t>
      </w:r>
      <w:proofErr w:type="spellEnd"/>
      <w:r w:rsidRPr="008D7D81">
        <w:rPr>
          <w:rFonts w:ascii="DINPro-Bold" w:hAnsi="DINPro-Bold" w:cs="DINPro-Bold"/>
          <w:b/>
          <w:bCs/>
          <w:color w:val="000000"/>
          <w:sz w:val="20"/>
          <w:szCs w:val="20"/>
          <w:lang w:val="uk-UA"/>
        </w:rPr>
        <w:t>,</w:t>
      </w: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 xml:space="preserve"> кандидат сільськогосподарських наук</w:t>
      </w:r>
    </w:p>
    <w:p w:rsidR="00D713BA" w:rsidRPr="008D7D81" w:rsidRDefault="00D713BA" w:rsidP="00D713BA">
      <w:pPr>
        <w:rPr>
          <w:rFonts w:ascii="SchoolBookCTT" w:hAnsi="SchoolBookCTT" w:cs="SchoolBookCTT"/>
          <w:color w:val="000000"/>
          <w:sz w:val="20"/>
          <w:szCs w:val="20"/>
        </w:rPr>
      </w:pPr>
      <w:r w:rsidRPr="008D7D81">
        <w:rPr>
          <w:rFonts w:ascii="DINPro-Medium" w:hAnsi="DINPro-Medium" w:cs="DINPro-Medium"/>
          <w:color w:val="000000"/>
          <w:sz w:val="20"/>
          <w:szCs w:val="20"/>
          <w:lang w:val="uk-UA"/>
        </w:rPr>
        <w:t>ДУ Інститут зернових культур НААН Україн</w:t>
      </w:r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и</w:t>
      </w:r>
    </w:p>
    <w:p w:rsidR="00D713BA" w:rsidRPr="008D7D81" w:rsidRDefault="00D713BA" w:rsidP="00D713BA">
      <w:pPr>
        <w:rPr>
          <w:rFonts w:ascii="SchoolBookCTT" w:hAnsi="SchoolBookCTT" w:cs="SchoolBookCTT"/>
          <w:color w:val="000000"/>
          <w:sz w:val="20"/>
          <w:szCs w:val="20"/>
        </w:rPr>
      </w:pP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i/>
          <w:iCs/>
          <w:color w:val="000000"/>
          <w:spacing w:val="-4"/>
          <w:sz w:val="20"/>
          <w:szCs w:val="20"/>
          <w:lang w:val="uk-UA"/>
        </w:rPr>
        <w:t>Досліджено особливості росту ремонтних свинок великої білої породи французької селекції, показники відтворювальної здатності свиноматок різного рівня адаптації, розраховано коефіцієнти парної кореляції між ознаками, а також визначено критерії відбору високопродуктивних тварин.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Встановлено, що тварини з коефіцієнтом інтенсивності спаду росту 36,46-64,53 балів характеризуються показниками відтворювальної здатності на рівні класу «еліта».</w:t>
      </w:r>
      <w:r w:rsidRPr="008D7D8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 xml:space="preserve"> 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i/>
          <w:iCs/>
          <w:color w:val="000000"/>
          <w:sz w:val="20"/>
          <w:szCs w:val="20"/>
          <w:lang w:val="uk-UA"/>
        </w:rPr>
        <w:t>Ключові слова</w:t>
      </w:r>
      <w:r w:rsidRPr="008D7D81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: ремонтні свинки, порода, селекція, коефіцієнт спаду росту, свиноматка, відтворювальна здатність, мінливість, кореляційний зв’язок.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</w:pP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Теоретичною основою для проведення досліджень є фундаментальні роботи вітчизняних та зарубіжних вчених </w:t>
      </w:r>
      <w:r w:rsidRPr="008D7D81">
        <w:rPr>
          <w:rFonts w:ascii="SchoolBookCTT" w:hAnsi="SchoolBookCTT" w:cs="SchoolBookCTT"/>
          <w:caps/>
          <w:color w:val="000000"/>
          <w:sz w:val="20"/>
          <w:szCs w:val="20"/>
          <w:lang w:val="uk-UA"/>
        </w:rPr>
        <w:t xml:space="preserve">[1–4 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та ін.</w:t>
      </w:r>
      <w:r w:rsidRPr="008D7D81">
        <w:rPr>
          <w:rFonts w:ascii="SchoolBookCTT" w:hAnsi="SchoolBookCTT" w:cs="SchoolBookCTT"/>
          <w:caps/>
          <w:color w:val="000000"/>
          <w:sz w:val="20"/>
          <w:szCs w:val="20"/>
          <w:lang w:val="uk-UA"/>
        </w:rPr>
        <w:t>].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Мета роботи – дослідити особливості росту ремонтних свинок великої білої породи французької селекції, показники відтворювальної здатності свиноматок зазначеного генотипу з урахуванням класу їх розподілу за коефіцієнт інтенсивності спаду росту в ранньому онтогенезі, розрахувати економічну ефективність результатів досліджень.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  <w:t>Матеріал і методи дослідження.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Експериментальну частину досліджень проведено в умовах племінного репродуктора з розведення свиней великої білої породи ТОВ «АФ «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Дзержинець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» Дніпропетровської областей. Об’єктом досліджень були ремонтні свинки та свиноматки великої білої породи французької селекції. 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Оцінку ремонтних свинок за показниками росту в ранньому онтогенезі та свиноматок за ознаками відтворювальної здатності проводили з урахуванням живої маси у 2 –, 4 – та 6 – місячному віці, кг, багатоплідності, гол; маси гнізда на час відлучення, кг, збереженості поросят до відлучення, %, оціночного індексу відтворювальної здатності свиноматки Л.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Лаша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у модифікації М. Д. Березовського.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Коефіцієнт інтенсивності спаду росту (</w:t>
      </w:r>
      <w:r w:rsidRPr="008D7D81">
        <w:rPr>
          <w:rFonts w:ascii="Symbol" w:hAnsi="Symbol" w:cs="Symbol"/>
          <w:caps/>
          <w:color w:val="000000"/>
          <w:sz w:val="20"/>
          <w:szCs w:val="20"/>
          <w:lang w:val="uk-UA"/>
        </w:rPr>
        <w:t></w:t>
      </w:r>
      <w:r w:rsidRPr="008D7D81">
        <w:rPr>
          <w:rFonts w:ascii="SchoolBookCTT" w:hAnsi="SchoolBookCTT" w:cs="SchoolBookCTT"/>
          <w:caps/>
          <w:color w:val="000000"/>
          <w:sz w:val="20"/>
          <w:szCs w:val="20"/>
          <w:lang w:val="uk-UA"/>
        </w:rPr>
        <w:t>K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) ремонтних свинок за період їх контрольного вирощування розраховували за методикою Ю. К. 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Свєчіна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цит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. за [5]):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center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                                       , (1)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де: </w:t>
      </w:r>
      <w:r w:rsidRPr="008D7D81">
        <w:rPr>
          <w:rFonts w:ascii="Symbol" w:hAnsi="Symbol" w:cs="Symbol"/>
          <w:caps/>
          <w:color w:val="000000"/>
          <w:sz w:val="20"/>
          <w:szCs w:val="20"/>
          <w:lang w:val="uk-UA"/>
        </w:rPr>
        <w:t>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K – коефіцієнт інтенсивності спаду росту,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W</w:t>
      </w:r>
      <w:r w:rsidRPr="008D7D81">
        <w:rPr>
          <w:rFonts w:ascii="SchoolBookCTT" w:hAnsi="SchoolBookCTT" w:cs="SchoolBookCTT"/>
          <w:color w:val="000000"/>
          <w:sz w:val="20"/>
          <w:szCs w:val="20"/>
          <w:vertAlign w:val="subscript"/>
          <w:lang w:val="uk-UA"/>
        </w:rPr>
        <w:t>t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– жива маса у віці 4 місяці, кг, W</w:t>
      </w:r>
      <w:r w:rsidRPr="008D7D81">
        <w:rPr>
          <w:rFonts w:ascii="SchoolBookCTT" w:hAnsi="SchoolBookCTT" w:cs="SchoolBookCTT"/>
          <w:color w:val="000000"/>
          <w:sz w:val="20"/>
          <w:szCs w:val="20"/>
          <w:vertAlign w:val="subscript"/>
          <w:lang w:val="uk-UA"/>
        </w:rPr>
        <w:t xml:space="preserve">0 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- жива маса у віці 2 місяці, кг, Wt</w:t>
      </w:r>
      <w:r w:rsidRPr="008D7D81">
        <w:rPr>
          <w:rFonts w:ascii="SchoolBookCTT" w:hAnsi="SchoolBookCTT" w:cs="SchoolBookCTT"/>
          <w:color w:val="000000"/>
          <w:sz w:val="20"/>
          <w:szCs w:val="20"/>
          <w:vertAlign w:val="subscript"/>
          <w:lang w:val="uk-UA"/>
        </w:rPr>
        <w:t xml:space="preserve">1 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- жива маса у віці 4 місяці, кг, Wo</w:t>
      </w:r>
      <w:r w:rsidRPr="008D7D81">
        <w:rPr>
          <w:rFonts w:ascii="SchoolBookCTT" w:hAnsi="SchoolBookCTT" w:cs="SchoolBookCTT"/>
          <w:color w:val="000000"/>
          <w:sz w:val="20"/>
          <w:szCs w:val="20"/>
          <w:vertAlign w:val="subscript"/>
          <w:lang w:val="uk-UA"/>
        </w:rPr>
        <w:t xml:space="preserve">1 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- жива маса у віці 6 місяці, кг. 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Оціночний індекс відтворювальної здатності свиноматки Л.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Лаша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 модифікації М. Д. Березовського розраховували за умови використання наступних селекційно-генетичних параметрів: багатоплідність, гол, кількість поросят на час відлучення, гол, середньодобовий приріст живої маси поросят до відлучення, кг </w:t>
      </w:r>
      <w:r w:rsidRPr="008D7D81">
        <w:rPr>
          <w:rFonts w:ascii="SchoolBookCTT" w:hAnsi="SchoolBookCTT" w:cs="SchoolBookCTT"/>
          <w:caps/>
          <w:color w:val="000000"/>
          <w:sz w:val="20"/>
          <w:szCs w:val="20"/>
          <w:lang w:val="uk-UA"/>
        </w:rPr>
        <w:t>[6, 7]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Економічну ефективність проведених досліджень розраховували за «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Методикой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определения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экономической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эффективности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использования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в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сельском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хозяйстве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результатов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научно-исследовательских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работ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новой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технологии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,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изобретений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и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рационализаторских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 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предложений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» [8].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Відхилення від середнього значення коефіцієнта інтенсивності спаду росту склало </w:t>
      </w:r>
      <w:r w:rsidRPr="008D7D81">
        <w:rPr>
          <w:color w:val="000000"/>
          <w:sz w:val="20"/>
          <w:szCs w:val="20"/>
          <w:lang w:val="uk-UA"/>
        </w:rPr>
        <w:t>−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0,67 та +0,67 </w:t>
      </w:r>
      <w:r w:rsidRPr="008D7D81">
        <w:rPr>
          <w:color w:val="000000"/>
          <w:sz w:val="20"/>
          <w:szCs w:val="20"/>
          <w:lang w:val="uk-UA"/>
        </w:rPr>
        <w:t>σ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Біометричну обробку одержаних результатів досліджень проведено за методикою Н. А.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Плохинського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[9].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  <w:t xml:space="preserve">Результати досліджень. 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За результатами досліджень встановлено, що у тварин піддослідної групи (n=159) коефіцієнт інтенсивності спаду росту (</w:t>
      </w:r>
      <w:r w:rsidRPr="008D7D81">
        <w:rPr>
          <w:rFonts w:ascii="Symbol" w:hAnsi="Symbol" w:cs="Symbol"/>
          <w:color w:val="000000"/>
          <w:sz w:val="20"/>
          <w:szCs w:val="20"/>
          <w:lang w:val="uk-UA"/>
        </w:rPr>
        <w:t>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К) коливався у межах від 36,46 до 93,79 (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Сv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=15,22%), багатоплідність 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lastRenderedPageBreak/>
        <w:t>свиноматок склала 10,7±0,17 гол (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Сv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=18,82%), маса гнізда на час відлучення – 77,8±</w:t>
      </w:r>
      <w:smartTag w:uri="urn:schemas-microsoft-com:office:smarttags" w:element="metricconverter">
        <w:smartTagPr>
          <w:attr w:name="ProductID" w:val="0,70 кг"/>
        </w:smartTagPr>
        <w:r w:rsidRPr="008D7D81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0,70 кг</w:t>
        </w:r>
      </w:smartTag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Сv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=11,38%), збереженість – 90,8%.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Результати досліджень показників відтворювальної здатності свиноматок різних класів розподілу за коефіцієнтом інтенсивності спаду росту наведено у таблиці 1.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Встановлено, що свиноматки, у яких коефіцієнтом інтенсивності спаду росту коливався у межах від 36,46 до 64,53 балів (група М</w:t>
      </w:r>
      <w:r w:rsidRPr="008D7D81">
        <w:rPr>
          <w:rFonts w:ascii="Symbol" w:hAnsi="Symbol" w:cs="Symbol"/>
          <w:caps/>
          <w:color w:val="000000"/>
          <w:sz w:val="20"/>
          <w:szCs w:val="20"/>
          <w:vertAlign w:val="superscript"/>
          <w:lang w:val="uk-UA"/>
        </w:rPr>
        <w:t>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) характеризувалися високими показниками багатоплідності та маси гнізда на час відлучення. Порівняно з ровесниками протилежного класу (група М</w:t>
      </w:r>
      <w:r w:rsidRPr="008D7D81">
        <w:rPr>
          <w:rFonts w:ascii="SchoolBookCTT" w:hAnsi="SchoolBookCTT" w:cs="SchoolBookCTT"/>
          <w:color w:val="000000"/>
          <w:sz w:val="20"/>
          <w:szCs w:val="20"/>
          <w:vertAlign w:val="superscript"/>
          <w:lang w:val="uk-UA"/>
        </w:rPr>
        <w:t>+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) різниця за багатоплідністю </w:t>
      </w:r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склала 0,9 поросяти на один опорос (</w:t>
      </w:r>
      <w:proofErr w:type="spellStart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>td</w:t>
      </w:r>
      <w:proofErr w:type="spellEnd"/>
      <w:r w:rsidRPr="008D7D81">
        <w:rPr>
          <w:rFonts w:ascii="SchoolBookCTT" w:hAnsi="SchoolBookCTT" w:cs="SchoolBookCTT"/>
          <w:color w:val="000000"/>
          <w:spacing w:val="-2"/>
          <w:sz w:val="20"/>
          <w:szCs w:val="20"/>
          <w:lang w:val="uk-UA"/>
        </w:rPr>
        <w:t xml:space="preserve">=2,64; P&gt;0,99), масою гнізда на час відлучення – </w:t>
      </w:r>
      <w:smartTag w:uri="urn:schemas-microsoft-com:office:smarttags" w:element="metricconverter">
        <w:smartTagPr>
          <w:attr w:name="ProductID" w:val="5,4 кг"/>
        </w:smartTagPr>
        <w:r w:rsidRPr="008D7D81">
          <w:rPr>
            <w:rFonts w:ascii="SchoolBookCTT" w:hAnsi="SchoolBookCTT" w:cs="SchoolBookCTT"/>
            <w:color w:val="000000"/>
            <w:spacing w:val="-2"/>
            <w:sz w:val="20"/>
            <w:szCs w:val="20"/>
            <w:lang w:val="uk-UA"/>
          </w:rPr>
          <w:t>5,4 кг</w:t>
        </w:r>
      </w:smartTag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td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=3,29; P&gt;0,99), індексом відтворювальної здатності свиноматки Л.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Лаша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у модифікації М. Д. Березовського – 2,2 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бала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td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=2,78; P&gt;0,99). 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Коефіцієнт інтенсивності спаду росту у тварин піддослідної групи коливався у межах від 36,46 до 93,79 балів, а різниця за даним показником між тваринами різних класів розподілу склала 26,98 балів (</w:t>
      </w:r>
      <w:proofErr w:type="spellStart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td</w:t>
      </w:r>
      <w:proofErr w:type="spellEnd"/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=24,41; P&gt;0,999) на користь ремонтних свинок групи М</w:t>
      </w:r>
      <w:r w:rsidRPr="008D7D81">
        <w:rPr>
          <w:rFonts w:ascii="SchoolBookCTT" w:hAnsi="SchoolBookCTT" w:cs="SchoolBookCTT"/>
          <w:color w:val="000000"/>
          <w:sz w:val="20"/>
          <w:szCs w:val="20"/>
          <w:vertAlign w:val="superscript"/>
          <w:lang w:val="uk-UA"/>
        </w:rPr>
        <w:t>+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(плюс варіант). 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Розрахунки економічної ефективності проведених досліджень свідчать, що максимальну прибавку продукції одержано від свиноматок класу М</w:t>
      </w:r>
      <w:r w:rsidRPr="008D7D81">
        <w:rPr>
          <w:rFonts w:ascii="Symbol" w:hAnsi="Symbol" w:cs="Symbol"/>
          <w:caps/>
          <w:color w:val="000000"/>
          <w:sz w:val="20"/>
          <w:szCs w:val="20"/>
          <w:vertAlign w:val="superscript"/>
          <w:lang w:val="uk-UA"/>
        </w:rPr>
        <w:t>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коефіцієнтом спаду росту – +2,69%, а вартість додаткової продукції склала +32,80 грн./гол. Середня ціна реалізації одного кілограма живої маси молодняку свиней, переробним підприємствам регіону на час проведення експериментальної частини досліджень склала 20 гривень 90 копійок.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b/>
          <w:bCs/>
          <w:color w:val="000000"/>
          <w:sz w:val="20"/>
          <w:szCs w:val="20"/>
          <w:lang w:val="uk-UA"/>
        </w:rPr>
        <w:t>Висновки: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1. Коефіцієнт інтенсивності спаду росту ремонтних свинок великої білої породи коливається у межах від 36,46 до 93,79 балів. 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2. Максимальні показники відтворювальної здатності (на рівні класу «еліта») встановлено у свиноматок класу М</w:t>
      </w:r>
      <w:r w:rsidRPr="008D7D81">
        <w:rPr>
          <w:rFonts w:ascii="Symbol" w:hAnsi="Symbol" w:cs="Symbol"/>
          <w:caps/>
          <w:color w:val="000000"/>
          <w:sz w:val="20"/>
          <w:szCs w:val="20"/>
          <w:vertAlign w:val="superscript"/>
          <w:lang w:val="uk-UA"/>
        </w:rPr>
        <w:t></w:t>
      </w:r>
      <w:r w:rsidRPr="008D7D81">
        <w:rPr>
          <w:rFonts w:ascii="SchoolBookCTT" w:hAnsi="SchoolBookCTT" w:cs="SchoolBookCTT"/>
          <w:b/>
          <w:bCs/>
          <w:caps/>
          <w:color w:val="000000"/>
          <w:sz w:val="20"/>
          <w:szCs w:val="20"/>
          <w:vertAlign w:val="superscript"/>
          <w:lang w:val="uk-UA"/>
        </w:rPr>
        <w:t xml:space="preserve"> </w:t>
      </w:r>
      <w:r w:rsidRPr="008D7D81">
        <w:rPr>
          <w:rFonts w:ascii="SchoolBookCTT" w:hAnsi="SchoolBookCTT" w:cs="SchoolBookCTT"/>
          <w:b/>
          <w:bCs/>
          <w:caps/>
          <w:color w:val="000000"/>
          <w:sz w:val="20"/>
          <w:szCs w:val="20"/>
          <w:lang w:val="uk-UA"/>
        </w:rPr>
        <w:t>(</w:t>
      </w:r>
      <w:r w:rsidRPr="008D7D81">
        <w:rPr>
          <w:rFonts w:ascii="Symbol" w:hAnsi="Symbol" w:cs="Symbol"/>
          <w:caps/>
          <w:color w:val="000000"/>
          <w:sz w:val="20"/>
          <w:szCs w:val="20"/>
          <w:lang w:val="uk-UA"/>
        </w:rPr>
        <w:t></w:t>
      </w:r>
      <w:r w:rsidRPr="008D7D81">
        <w:rPr>
          <w:rFonts w:ascii="SchoolBookCTT" w:hAnsi="SchoolBookCTT" w:cs="SchoolBookCTT"/>
          <w:caps/>
          <w:color w:val="000000"/>
          <w:sz w:val="20"/>
          <w:szCs w:val="20"/>
          <w:lang w:val="uk-UA"/>
        </w:rPr>
        <w:t>К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=54,46±0,927). 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>3. Використання свиноматок класу М</w:t>
      </w:r>
      <w:r w:rsidRPr="008D7D81">
        <w:rPr>
          <w:b/>
          <w:bCs/>
          <w:caps/>
          <w:color w:val="000000"/>
          <w:sz w:val="20"/>
          <w:szCs w:val="20"/>
          <w:vertAlign w:val="superscript"/>
          <w:lang w:val="uk-UA"/>
        </w:rPr>
        <w:t>−</w:t>
      </w:r>
      <w:r w:rsidRPr="008D7D81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за коефіцієнтом спаду росту забезпечує одержання прибавки додаткової продукції на рівні +2,69%, а її вартість складає +32,80 грн./гол.</w:t>
      </w:r>
    </w:p>
    <w:p w:rsidR="00D713BA" w:rsidRPr="008D7D81" w:rsidRDefault="00D713BA" w:rsidP="00D713BA">
      <w:pPr>
        <w:autoSpaceDE w:val="0"/>
        <w:autoSpaceDN w:val="0"/>
        <w:adjustRightInd w:val="0"/>
        <w:spacing w:line="288" w:lineRule="auto"/>
        <w:ind w:firstLine="227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220" w:lineRule="atLeast"/>
        <w:ind w:firstLine="227"/>
        <w:jc w:val="both"/>
        <w:textAlignment w:val="baseline"/>
        <w:rPr>
          <w:rFonts w:ascii="DINPro-Bold" w:hAnsi="DINPro-Bold" w:cs="DINPro-Bold"/>
          <w:b/>
          <w:bCs/>
          <w:caps/>
          <w:color w:val="000000"/>
          <w:position w:val="4"/>
          <w:sz w:val="22"/>
          <w:szCs w:val="22"/>
          <w:lang w:val="uk-UA"/>
        </w:rPr>
      </w:pPr>
      <w:r w:rsidRPr="008D7D81">
        <w:rPr>
          <w:rFonts w:ascii="DINPro-Bold" w:hAnsi="DINPro-Bold" w:cs="DINPro-Bold"/>
          <w:b/>
          <w:bCs/>
          <w:color w:val="000000"/>
          <w:position w:val="4"/>
          <w:sz w:val="22"/>
          <w:szCs w:val="22"/>
          <w:lang w:val="uk-UA"/>
        </w:rPr>
        <w:t xml:space="preserve">Бібліографічний список 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  <w:lang w:val="uk-UA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1.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Церенюк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 О. М. Індексна селекція у свинарстві України [електрон. ресурс] / О. М.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Церенюк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 // Агробізнес сьогодні. Режим доступу: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htp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: // 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www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. </w:t>
      </w:r>
      <w:proofErr w:type="gram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agro</w:t>
      </w:r>
      <w:proofErr w:type="gram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 –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dusiness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. </w:t>
      </w:r>
      <w:proofErr w:type="gram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com</w:t>
      </w:r>
      <w:proofErr w:type="gram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ua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. / 2010-06-11-12-53-11/902-2012-03-02-14-20-06.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html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.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2.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Акімов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 О. В. Ефективність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породно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-лінійної гібридизації з використанням заводських ліній свиней харківського типу української м’ясної породи: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автореф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дис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. на здобуття наук. ступеня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>канд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uk-UA"/>
        </w:rPr>
        <w:t xml:space="preserve">. с.-г. наук: спец. 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06.02.01. «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Розведення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та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селекція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тварин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» / О. В.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Акімов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– Херсон, 2010. – 19 с.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  <w:lang w:val="en-GB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3.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Полупан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Ю. П. Оценка степени фенотипической консолидации генеалогических групп животных / Ю. П.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Полупан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// Зоотехния. – №10. – 1996. </w:t>
      </w:r>
      <w:proofErr w:type="gram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С. 13</w:t>
      </w:r>
      <w:proofErr w:type="gram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–15.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  <w:lang w:val="en-GB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4. Chen M. Different allele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freguencies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 of MC4R gene variants in Chinese pig Breeds /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M.Chen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 // Arch.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Tirzucht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,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Dummerstorf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. – 2004/ – Vol. 47. – №5. – Р.445.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  <w:lang w:val="en-GB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5.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Бажов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 Г. М.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Биотехнология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интенсивного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свиноводства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 /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Г.М.Бажов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,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В.И.Комлацкий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. – </w:t>
      </w:r>
      <w:proofErr w:type="gram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М.:</w:t>
      </w:r>
      <w:proofErr w:type="gram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Росагропромиздат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, 1989. – 269 с. 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>6. Березовский Н. Д. Оценка материнских качеств свиноматок с использованием оценочного и селекционного индексов / Н.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Д.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Березовский, П. Я.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Шкурупий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, В. А. Коротков // Свиноводство. – К.: Урожай, 1984. – № 40. – С. 16–18.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  <w:lang w:val="en-GB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7. Lush L. Selection indexes for sow. – J. of Anim. Breed. </w:t>
      </w:r>
      <w:proofErr w:type="gramStart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and</w:t>
      </w:r>
      <w:proofErr w:type="gramEnd"/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 xml:space="preserve"> Genetics, 1961, vol. 75, N 3, p. 358–367.</w:t>
      </w:r>
    </w:p>
    <w:p w:rsidR="00D713BA" w:rsidRPr="008D7D81" w:rsidRDefault="00D713BA" w:rsidP="00D713BA">
      <w:pPr>
        <w:suppressAutoHyphens/>
        <w:autoSpaceDE w:val="0"/>
        <w:autoSpaceDN w:val="0"/>
        <w:adjustRightInd w:val="0"/>
        <w:spacing w:line="180" w:lineRule="atLeast"/>
        <w:ind w:firstLine="227"/>
        <w:jc w:val="both"/>
        <w:textAlignment w:val="baseline"/>
        <w:rPr>
          <w:rFonts w:ascii="DINPro-Regular" w:hAnsi="DINPro-Regular" w:cs="DINPro-Regular"/>
          <w:color w:val="000000"/>
          <w:sz w:val="16"/>
          <w:szCs w:val="16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>8. Методика определения экономической эффективности использования в сельском хозяйстве результатов научно-исследовательских работ, новой технологии, изобретений и рационализаторских предложений. – М.: ВАИИПИ, 1983. – 149 с.</w:t>
      </w:r>
    </w:p>
    <w:p w:rsidR="00D713BA" w:rsidRPr="008D7D81" w:rsidRDefault="00D713BA" w:rsidP="00D713BA">
      <w:pPr>
        <w:rPr>
          <w:rFonts w:ascii="SchoolBookCTT" w:hAnsi="SchoolBookCTT" w:cs="SchoolBookCTT"/>
          <w:color w:val="000000"/>
          <w:sz w:val="20"/>
          <w:szCs w:val="20"/>
        </w:rPr>
      </w:pPr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9. 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Плохинский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 xml:space="preserve"> Н. А. Руководство по биометрии для зоотехников. / Н.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r w:rsidRPr="008D7D81">
        <w:rPr>
          <w:rFonts w:ascii="DINPro-Regular" w:hAnsi="DINPro-Regular" w:cs="DINPro-Regular"/>
          <w:color w:val="000000"/>
          <w:sz w:val="16"/>
          <w:szCs w:val="16"/>
        </w:rPr>
        <w:t>А.</w:t>
      </w:r>
      <w:r w:rsidRPr="008D7D81">
        <w:rPr>
          <w:rFonts w:ascii="DINPro-Regular" w:hAnsi="DINPro-Regular" w:cs="DINPro-Regular"/>
          <w:color w:val="000000"/>
          <w:sz w:val="16"/>
          <w:szCs w:val="16"/>
          <w:lang w:val="en-GB"/>
        </w:rPr>
        <w:t> </w:t>
      </w:r>
      <w:proofErr w:type="spellStart"/>
      <w:r w:rsidRPr="008D7D81">
        <w:rPr>
          <w:rFonts w:ascii="DINPro-Regular" w:hAnsi="DINPro-Regular" w:cs="DINPro-Regular"/>
          <w:color w:val="000000"/>
          <w:sz w:val="16"/>
          <w:szCs w:val="16"/>
        </w:rPr>
        <w:t>Плохинский</w:t>
      </w:r>
      <w:proofErr w:type="spellEnd"/>
      <w:r w:rsidRPr="008D7D81">
        <w:rPr>
          <w:rFonts w:ascii="DINPro-Regular" w:hAnsi="DINPro-Regular" w:cs="DINPro-Regular"/>
          <w:color w:val="000000"/>
          <w:sz w:val="16"/>
          <w:szCs w:val="16"/>
        </w:rPr>
        <w:t>. – М., Колос, 1969. – 256 с.</w:t>
      </w:r>
    </w:p>
    <w:p w:rsidR="00D713BA" w:rsidRPr="008D7D81" w:rsidRDefault="00D713BA" w:rsidP="00D713BA">
      <w:pPr>
        <w:rPr>
          <w:rFonts w:ascii="SchoolBookCTT" w:hAnsi="SchoolBookCTT" w:cs="SchoolBookCTT"/>
          <w:color w:val="000000"/>
          <w:sz w:val="20"/>
          <w:szCs w:val="20"/>
        </w:rPr>
      </w:pPr>
    </w:p>
    <w:p w:rsidR="00D713BA" w:rsidRDefault="00D713BA" w:rsidP="00D713BA">
      <w:pPr>
        <w:pStyle w:val="a3"/>
        <w:jc w:val="left"/>
        <w:rPr>
          <w:rFonts w:ascii="DINPro-Bold" w:hAnsi="DINPro-Bold" w:cs="DINPro-Bold"/>
          <w:b/>
          <w:bCs/>
        </w:rPr>
      </w:pPr>
      <w:r>
        <w:rPr>
          <w:rFonts w:ascii="DINPro-Bold" w:hAnsi="DINPro-Bold" w:cs="DINPro-Bold"/>
          <w:b/>
          <w:bCs/>
        </w:rPr>
        <w:t>1. Показники відтворювальної здатності свиноматок різних класів розподілу за коефіцієнтом спаду росту</w: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960"/>
        <w:gridCol w:w="1220"/>
        <w:gridCol w:w="1067"/>
      </w:tblGrid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D713BA" w:rsidRDefault="00D713BA" w:rsidP="00445761">
            <w:pPr>
              <w:pStyle w:val="a4"/>
            </w:pPr>
            <w:r>
              <w:t xml:space="preserve">Показник </w:t>
            </w:r>
          </w:p>
        </w:tc>
        <w:tc>
          <w:tcPr>
            <w:tcW w:w="9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D713BA" w:rsidRDefault="00D713BA" w:rsidP="00445761">
            <w:pPr>
              <w:pStyle w:val="a4"/>
            </w:pPr>
            <w:r>
              <w:t>Біометричні показники</w:t>
            </w:r>
          </w:p>
        </w:tc>
        <w:tc>
          <w:tcPr>
            <w:tcW w:w="228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D713BA" w:rsidRDefault="00D713BA" w:rsidP="00445761">
            <w:pPr>
              <w:pStyle w:val="a4"/>
            </w:pPr>
            <w:r>
              <w:t>Клас розподілу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9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D713BA" w:rsidRDefault="00D713BA" w:rsidP="00445761">
            <w:pPr>
              <w:pStyle w:val="a4"/>
            </w:pPr>
            <w:r>
              <w:t>М</w:t>
            </w:r>
            <w:r>
              <w:rPr>
                <w:vertAlign w:val="superscript"/>
              </w:rPr>
              <w:t>+</w:t>
            </w:r>
            <w:r>
              <w:t xml:space="preserve"> (плюс варіант)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60" w:type="dxa"/>
              <w:left w:w="40" w:type="dxa"/>
              <w:bottom w:w="60" w:type="dxa"/>
              <w:right w:w="40" w:type="dxa"/>
            </w:tcMar>
            <w:vAlign w:val="center"/>
          </w:tcPr>
          <w:p w:rsidR="00D713BA" w:rsidRDefault="00D713BA" w:rsidP="00445761">
            <w:pPr>
              <w:pStyle w:val="a4"/>
            </w:pPr>
            <w:r>
              <w:t>М</w:t>
            </w:r>
            <w:r>
              <w:rPr>
                <w:caps/>
                <w:vertAlign w:val="superscript"/>
              </w:rPr>
              <w:t>−</w:t>
            </w:r>
            <w:r>
              <w:rPr>
                <w:caps/>
              </w:rPr>
              <w:t xml:space="preserve"> </w:t>
            </w:r>
            <w:r>
              <w:t>(мінус варіант)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  <w:jc w:val="left"/>
            </w:pPr>
            <w:r>
              <w:t>Коефіцієнт інтенсивності спаду росту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n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40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39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proofErr w:type="spellStart"/>
            <w:r>
              <w:rPr>
                <w:lang w:val="ru-RU"/>
              </w:rPr>
              <w:t>X±Sx</w:t>
            </w:r>
            <w:proofErr w:type="spellEnd"/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81,44±0,603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54,46±0,927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rPr>
                <w:lang w:val="en-US"/>
              </w:rPr>
              <w:t>V min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76,70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36,46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rPr>
                <w:lang w:val="en-US"/>
              </w:rPr>
              <w:t>V max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93,79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64,53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С</w:t>
            </w:r>
            <w:r>
              <w:rPr>
                <w:lang w:val="en-US"/>
              </w:rPr>
              <w:t>v</w:t>
            </w:r>
            <w:r>
              <w:t>,%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4,68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</w:pPr>
            <w:r>
              <w:t>10,74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  <w:suppressAutoHyphens w:val="0"/>
              <w:jc w:val="left"/>
            </w:pPr>
            <w:r>
              <w:t>Багатоплідність, гол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proofErr w:type="spellStart"/>
            <w:r>
              <w:rPr>
                <w:lang w:val="ru-RU"/>
              </w:rPr>
              <w:t>X±Sx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10,2±0,</w:t>
            </w:r>
            <w:r>
              <w:rPr>
                <w:lang w:val="en-US"/>
              </w:rPr>
              <w:t>21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11,1±0,27**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С</w:t>
            </w:r>
            <w:r>
              <w:rPr>
                <w:lang w:val="en-US"/>
              </w:rPr>
              <w:t>v</w:t>
            </w:r>
            <w:r>
              <w:t>,%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22,70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14,62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  <w:suppressAutoHyphens w:val="0"/>
              <w:jc w:val="left"/>
            </w:pPr>
            <w:r>
              <w:t>Маса гнізда на час відлучення, кг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proofErr w:type="spellStart"/>
            <w:r>
              <w:rPr>
                <w:lang w:val="ru-RU"/>
              </w:rPr>
              <w:t>X±Sx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74,3±1,22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79,7±1,11**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С</w:t>
            </w:r>
            <w:r>
              <w:rPr>
                <w:lang w:val="en-US"/>
              </w:rPr>
              <w:t>v</w:t>
            </w:r>
            <w:r>
              <w:t>,%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10,26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8,84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5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  <w:suppressAutoHyphens w:val="0"/>
              <w:jc w:val="left"/>
            </w:pPr>
            <w:r>
              <w:lastRenderedPageBreak/>
              <w:t>Збереженість поросят до відлучення, %</w:t>
            </w:r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rPr>
                <w:lang w:val="ru-RU"/>
              </w:rPr>
              <w:t>X</w:t>
            </w:r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90,9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91,1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5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D713BA" w:rsidRDefault="00D713BA" w:rsidP="00445761">
            <w:pPr>
              <w:pStyle w:val="a3"/>
              <w:suppressAutoHyphens w:val="0"/>
              <w:jc w:val="left"/>
            </w:pPr>
            <w:r>
              <w:t xml:space="preserve">Індекс відтворювальної здатності свиноматки </w:t>
            </w:r>
            <w:proofErr w:type="spellStart"/>
            <w:r>
              <w:t>Л.Лаша</w:t>
            </w:r>
            <w:proofErr w:type="spellEnd"/>
            <w:r>
              <w:t xml:space="preserve"> у модифікації </w:t>
            </w:r>
            <w:proofErr w:type="spellStart"/>
            <w:r>
              <w:t>М.Д.Березовського</w:t>
            </w:r>
            <w:proofErr w:type="spellEnd"/>
          </w:p>
        </w:tc>
        <w:tc>
          <w:tcPr>
            <w:tcW w:w="96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proofErr w:type="spellStart"/>
            <w:r>
              <w:rPr>
                <w:lang w:val="ru-RU"/>
              </w:rPr>
              <w:t>X±Sx</w:t>
            </w:r>
            <w:proofErr w:type="spellEnd"/>
          </w:p>
        </w:tc>
        <w:tc>
          <w:tcPr>
            <w:tcW w:w="1220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36,11±0,628</w:t>
            </w:r>
          </w:p>
        </w:tc>
        <w:tc>
          <w:tcPr>
            <w:tcW w:w="10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38,31±0,488</w:t>
            </w:r>
          </w:p>
        </w:tc>
      </w:tr>
      <w:tr w:rsidR="00D713BA" w:rsidTr="004457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/>
        </w:trPr>
        <w:tc>
          <w:tcPr>
            <w:tcW w:w="15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713BA" w:rsidRDefault="00D713BA" w:rsidP="00445761">
            <w:pPr>
              <w:pStyle w:val="NoParagraphStyle"/>
              <w:spacing w:line="240" w:lineRule="auto"/>
              <w:textAlignment w:val="auto"/>
              <w:rPr>
                <w:rFonts w:ascii="DINPro-Bold" w:hAnsi="DINPro-Bold" w:cs="Times New Roman"/>
                <w:color w:val="auto"/>
                <w:lang w:val="ru-RU"/>
              </w:rPr>
            </w:pPr>
          </w:p>
        </w:tc>
        <w:tc>
          <w:tcPr>
            <w:tcW w:w="96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С</w:t>
            </w:r>
            <w:r>
              <w:rPr>
                <w:lang w:val="en-US"/>
              </w:rPr>
              <w:t>v</w:t>
            </w:r>
            <w:r>
              <w:t>,%</w:t>
            </w:r>
          </w:p>
        </w:tc>
        <w:tc>
          <w:tcPr>
            <w:tcW w:w="1220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11,00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D713BA" w:rsidRDefault="00D713BA" w:rsidP="00445761">
            <w:pPr>
              <w:pStyle w:val="a3"/>
            </w:pPr>
            <w:r>
              <w:t>7,96</w:t>
            </w:r>
          </w:p>
        </w:tc>
      </w:tr>
    </w:tbl>
    <w:p w:rsidR="00A76681" w:rsidRDefault="00D713BA">
      <w:bookmarkStart w:id="0" w:name="_GoBack"/>
      <w:bookmarkEnd w:id="0"/>
    </w:p>
    <w:sectPr w:rsidR="00A76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DINPro-Bold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DINPro-Medium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3BA"/>
    <w:rsid w:val="00445505"/>
    <w:rsid w:val="00D713BA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656ADC-9478-4B43-B8BC-0D19A3EA8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ParagraphStyle">
    <w:name w:val="[No Paragraph Style]"/>
    <w:rsid w:val="00D713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GB" w:eastAsia="ru-RU"/>
    </w:rPr>
  </w:style>
  <w:style w:type="paragraph" w:customStyle="1" w:styleId="a3">
    <w:name w:val="текст таблица"/>
    <w:basedOn w:val="NoParagraphStyle"/>
    <w:next w:val="NoParagraphStyle"/>
    <w:rsid w:val="00D713BA"/>
    <w:pPr>
      <w:suppressAutoHyphens/>
      <w:spacing w:line="180" w:lineRule="atLeast"/>
      <w:jc w:val="center"/>
      <w:textAlignment w:val="baseline"/>
    </w:pPr>
    <w:rPr>
      <w:rFonts w:ascii="DINPro-Regular" w:hAnsi="DINPro-Regular" w:cs="DINPro-Regular"/>
      <w:position w:val="2"/>
      <w:sz w:val="16"/>
      <w:szCs w:val="16"/>
      <w:lang w:val="uk-UA"/>
    </w:rPr>
  </w:style>
  <w:style w:type="paragraph" w:customStyle="1" w:styleId="a4">
    <w:name w:val="текст шапка"/>
    <w:basedOn w:val="NoParagraphStyle"/>
    <w:next w:val="NoParagraphStyle"/>
    <w:rsid w:val="00D713BA"/>
    <w:pPr>
      <w:suppressAutoHyphens/>
      <w:spacing w:line="180" w:lineRule="atLeast"/>
      <w:jc w:val="center"/>
      <w:textAlignment w:val="baseline"/>
    </w:pPr>
    <w:rPr>
      <w:rFonts w:ascii="DINPro-Bold" w:hAnsi="DINPro-Bold" w:cs="DINPro-Bold"/>
      <w:b/>
      <w:bCs/>
      <w:position w:val="2"/>
      <w:sz w:val="14"/>
      <w:szCs w:val="1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1126</Words>
  <Characters>6424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2017-04-07T06:09:00Z</dcterms:created>
  <dcterms:modified xsi:type="dcterms:W3CDTF">2017-04-07T06:10:00Z</dcterms:modified>
</cp:coreProperties>
</file>