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3A" w:rsidRDefault="00184D3A" w:rsidP="00184D3A">
      <w:pPr>
        <w:pStyle w:val="30"/>
        <w:shd w:val="clear" w:color="auto" w:fill="auto"/>
      </w:pPr>
      <w:r>
        <w:rPr>
          <w:color w:val="000000"/>
          <w:lang w:eastAsia="ru-RU" w:bidi="ru-RU"/>
        </w:rPr>
        <w:t xml:space="preserve">УДК </w:t>
      </w:r>
      <w:r w:rsidRPr="005863D9">
        <w:rPr>
          <w:color w:val="000000"/>
          <w:lang w:bidi="en-US"/>
        </w:rPr>
        <w:t>634.8: 632.4/.952</w:t>
      </w:r>
    </w:p>
    <w:p w:rsidR="00184D3A" w:rsidRDefault="00184D3A" w:rsidP="00184D3A">
      <w:pPr>
        <w:pStyle w:val="40"/>
        <w:shd w:val="clear" w:color="auto" w:fill="auto"/>
        <w:spacing w:after="175"/>
        <w:ind w:right="2200"/>
      </w:pPr>
      <w:r>
        <w:rPr>
          <w:rStyle w:val="41"/>
        </w:rPr>
        <w:t xml:space="preserve">Диденко П. А., </w:t>
      </w:r>
      <w:r>
        <w:rPr>
          <w:color w:val="000000"/>
        </w:rPr>
        <w:t xml:space="preserve">младш. науч. сотрудник отдела защиты и физиологии растений </w:t>
      </w:r>
      <w:r>
        <w:rPr>
          <w:rStyle w:val="42"/>
        </w:rPr>
        <w:t xml:space="preserve">НИИ виноградарства и виноделия «Магарач» </w:t>
      </w:r>
      <w:r>
        <w:rPr>
          <w:rStyle w:val="41"/>
          <w:lang w:val="en-US" w:eastAsia="en-US" w:bidi="en-US"/>
        </w:rPr>
        <w:t>e</w:t>
      </w:r>
      <w:r w:rsidRPr="005863D9">
        <w:rPr>
          <w:rStyle w:val="41"/>
          <w:lang w:eastAsia="en-US" w:bidi="en-US"/>
        </w:rPr>
        <w:t>-</w:t>
      </w:r>
      <w:r>
        <w:rPr>
          <w:rStyle w:val="41"/>
          <w:lang w:val="en-US" w:eastAsia="en-US" w:bidi="en-US"/>
        </w:rPr>
        <w:t>mail</w:t>
      </w:r>
      <w:r w:rsidRPr="005863D9">
        <w:rPr>
          <w:rStyle w:val="41"/>
          <w:lang w:eastAsia="en-US" w:bidi="en-US"/>
        </w:rPr>
        <w:t xml:space="preserve">: </w:t>
      </w:r>
      <w:hyperlink r:id="rId4" w:history="1">
        <w:r>
          <w:rPr>
            <w:rStyle w:val="a3"/>
            <w:lang w:val="en-US" w:eastAsia="en-US" w:bidi="en-US"/>
          </w:rPr>
          <w:t>pavel</w:t>
        </w:r>
        <w:r w:rsidRPr="005863D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didenko</w:t>
        </w:r>
        <w:r w:rsidRPr="005863D9">
          <w:rPr>
            <w:rStyle w:val="a3"/>
            <w:lang w:eastAsia="en-US" w:bidi="en-US"/>
          </w:rPr>
          <w:t>.87@</w:t>
        </w:r>
        <w:r>
          <w:rPr>
            <w:rStyle w:val="a3"/>
            <w:lang w:val="en-US" w:eastAsia="en-US" w:bidi="en-US"/>
          </w:rPr>
          <w:t>mail</w:t>
        </w:r>
        <w:r w:rsidRPr="005863D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184D3A" w:rsidRDefault="00184D3A" w:rsidP="00184D3A">
      <w:pPr>
        <w:pStyle w:val="10"/>
        <w:keepNext/>
        <w:keepLines/>
        <w:shd w:val="clear" w:color="auto" w:fill="auto"/>
        <w:spacing w:before="0"/>
        <w:ind w:left="40"/>
        <w:sectPr w:rsidR="00184D3A" w:rsidSect="00184D3A">
          <w:pgSz w:w="11900" w:h="16840"/>
          <w:pgMar w:top="1498" w:right="1057" w:bottom="888" w:left="903" w:header="0" w:footer="3" w:gutter="0"/>
          <w:cols w:space="720"/>
          <w:noEndnote/>
          <w:docGrid w:linePitch="360"/>
        </w:sectPr>
      </w:pPr>
      <w:bookmarkStart w:id="0" w:name="bookmark3"/>
      <w:r>
        <w:rPr>
          <w:color w:val="000000"/>
        </w:rPr>
        <w:t>РАЗРАБОТКА РЕСУРСОСБЕРЕГАЮЩЕЙ</w:t>
      </w:r>
      <w:r>
        <w:rPr>
          <w:color w:val="000000"/>
        </w:rPr>
        <w:br/>
        <w:t>ТЕХНОЛОГИИ ЗАЩИТЫ ВИНОГРАДА ОТ ВРЕДНЫХ ОРГАНИЗМОВ</w:t>
      </w:r>
      <w:bookmarkEnd w:id="0"/>
    </w:p>
    <w:p w:rsidR="00184D3A" w:rsidRDefault="00184D3A" w:rsidP="00184D3A">
      <w:pPr>
        <w:spacing w:line="146" w:lineRule="exact"/>
        <w:rPr>
          <w:sz w:val="12"/>
          <w:szCs w:val="12"/>
        </w:rPr>
      </w:pPr>
    </w:p>
    <w:p w:rsidR="00184D3A" w:rsidRDefault="00184D3A" w:rsidP="00184D3A">
      <w:pPr>
        <w:rPr>
          <w:sz w:val="2"/>
          <w:szCs w:val="2"/>
        </w:rPr>
        <w:sectPr w:rsidR="00184D3A">
          <w:type w:val="continuous"/>
          <w:pgSz w:w="11900" w:h="16840"/>
          <w:pgMar w:top="1498" w:right="0" w:bottom="888" w:left="0" w:header="0" w:footer="3" w:gutter="0"/>
          <w:cols w:space="720"/>
          <w:noEndnote/>
          <w:docGrid w:linePitch="360"/>
        </w:sectPr>
      </w:pPr>
    </w:p>
    <w:p w:rsidR="00184D3A" w:rsidRDefault="00184D3A" w:rsidP="00184D3A">
      <w:pPr>
        <w:pStyle w:val="20"/>
        <w:shd w:val="clear" w:color="auto" w:fill="auto"/>
        <w:ind w:firstLine="280"/>
      </w:pPr>
      <w:r>
        <w:rPr>
          <w:color w:val="000000"/>
          <w:lang w:eastAsia="ru-RU" w:bidi="ru-RU"/>
        </w:rPr>
        <w:lastRenderedPageBreak/>
        <w:t>Виноградарство - высокодоходная и интен</w:t>
      </w:r>
      <w:r>
        <w:rPr>
          <w:color w:val="000000"/>
          <w:lang w:eastAsia="ru-RU" w:bidi="ru-RU"/>
        </w:rPr>
        <w:softHyphen/>
        <w:t>сивная отрасль агропромышленного комплекса, имеющая важное народнохозяйственное значе</w:t>
      </w:r>
      <w:r>
        <w:rPr>
          <w:color w:val="000000"/>
          <w:lang w:eastAsia="ru-RU" w:bidi="ru-RU"/>
        </w:rPr>
        <w:softHyphen/>
        <w:t>ние. В южных районах виноградарство дает зна</w:t>
      </w:r>
      <w:r>
        <w:rPr>
          <w:color w:val="000000"/>
          <w:lang w:eastAsia="ru-RU" w:bidi="ru-RU"/>
        </w:rPr>
        <w:softHyphen/>
        <w:t>чительную часть всех доходов, получаемых от реализации сельскохозяйственной продукции. В связи с этим для дальнейшего развития ви</w:t>
      </w:r>
      <w:r>
        <w:rPr>
          <w:color w:val="000000"/>
          <w:lang w:eastAsia="ru-RU" w:bidi="ru-RU"/>
        </w:rPr>
        <w:softHyphen/>
        <w:t>ноградарства необходимо повышение продуктив</w:t>
      </w:r>
      <w:r>
        <w:rPr>
          <w:color w:val="000000"/>
          <w:lang w:eastAsia="ru-RU" w:bidi="ru-RU"/>
        </w:rPr>
        <w:softHyphen/>
        <w:t>ности существующих насаждений за счет широ</w:t>
      </w:r>
      <w:r>
        <w:rPr>
          <w:color w:val="000000"/>
          <w:lang w:eastAsia="ru-RU" w:bidi="ru-RU"/>
        </w:rPr>
        <w:softHyphen/>
        <w:t>кого применения достижений научно-техничес</w:t>
      </w:r>
      <w:r>
        <w:rPr>
          <w:color w:val="000000"/>
          <w:lang w:eastAsia="ru-RU" w:bidi="ru-RU"/>
        </w:rPr>
        <w:softHyphen/>
        <w:t>кого прогресса, разработки ресурсосберегающих (энергосберегающих) интенсивных технологий возделывания винограда, совершенствования</w:t>
      </w:r>
      <w:r>
        <w:rPr>
          <w:color w:val="000000"/>
          <w:lang w:eastAsia="ru-RU" w:bidi="ru-RU"/>
        </w:rPr>
        <w:br w:type="column"/>
      </w:r>
      <w:r>
        <w:rPr>
          <w:color w:val="000000"/>
          <w:lang w:eastAsia="ru-RU" w:bidi="ru-RU"/>
        </w:rPr>
        <w:lastRenderedPageBreak/>
        <w:t>химических систем защиты винограда. В насто</w:t>
      </w:r>
      <w:r>
        <w:rPr>
          <w:color w:val="000000"/>
          <w:lang w:eastAsia="ru-RU" w:bidi="ru-RU"/>
        </w:rPr>
        <w:softHyphen/>
        <w:t>ящее время при защите виноградных насажде</w:t>
      </w:r>
      <w:r>
        <w:rPr>
          <w:color w:val="000000"/>
          <w:lang w:eastAsia="ru-RU" w:bidi="ru-RU"/>
        </w:rPr>
        <w:softHyphen/>
        <w:t>ний все чаще используют препараты для усиле</w:t>
      </w:r>
      <w:r>
        <w:rPr>
          <w:color w:val="000000"/>
          <w:lang w:eastAsia="ru-RU" w:bidi="ru-RU"/>
        </w:rPr>
        <w:softHyphen/>
        <w:t>ния действия пестицидов. Одним из элементов экологизации современных систем защиты ви</w:t>
      </w:r>
      <w:r>
        <w:rPr>
          <w:color w:val="000000"/>
          <w:lang w:eastAsia="ru-RU" w:bidi="ru-RU"/>
        </w:rPr>
        <w:softHyphen/>
        <w:t>нограда является использование поверхностно</w:t>
      </w:r>
      <w:r>
        <w:rPr>
          <w:color w:val="000000"/>
          <w:lang w:eastAsia="ru-RU" w:bidi="ru-RU"/>
        </w:rPr>
        <w:softHyphen/>
        <w:t>активных веществ (ПАВ) в баковых смесях пес</w:t>
      </w:r>
      <w:r>
        <w:rPr>
          <w:color w:val="000000"/>
          <w:lang w:eastAsia="ru-RU" w:bidi="ru-RU"/>
        </w:rPr>
        <w:softHyphen/>
        <w:t>тицидов. Правильно составленная баковая смесь может решить большинство проблем, возника</w:t>
      </w:r>
      <w:r>
        <w:rPr>
          <w:color w:val="000000"/>
          <w:lang w:eastAsia="ru-RU" w:bidi="ru-RU"/>
        </w:rPr>
        <w:softHyphen/>
        <w:t>ющих при защите культуры от вредных орга</w:t>
      </w:r>
      <w:r>
        <w:rPr>
          <w:color w:val="000000"/>
          <w:lang w:eastAsia="ru-RU" w:bidi="ru-RU"/>
        </w:rPr>
        <w:softHyphen/>
        <w:t>низмов.</w:t>
      </w:r>
    </w:p>
    <w:p w:rsidR="00184D3A" w:rsidRDefault="00184D3A" w:rsidP="00184D3A">
      <w:pPr>
        <w:pStyle w:val="20"/>
        <w:shd w:val="clear" w:color="auto" w:fill="auto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Полевые исследования проводились в </w:t>
      </w:r>
      <w:r w:rsidRPr="005863D9">
        <w:rPr>
          <w:color w:val="000000"/>
          <w:lang w:bidi="en-US"/>
        </w:rPr>
        <w:t>2014</w:t>
      </w:r>
      <w:r w:rsidRPr="005863D9">
        <w:rPr>
          <w:color w:val="000000"/>
          <w:lang w:bidi="en-US"/>
        </w:rPr>
        <w:softHyphen/>
        <w:t>2015</w:t>
      </w:r>
      <w:r>
        <w:rPr>
          <w:color w:val="000000"/>
          <w:lang w:eastAsia="ru-RU" w:bidi="ru-RU"/>
        </w:rPr>
        <w:t xml:space="preserve"> гг. на промышленных виноградных на-</w:t>
      </w:r>
    </w:p>
    <w:p w:rsidR="00184D3A" w:rsidRDefault="00184D3A" w:rsidP="00184D3A">
      <w:pPr>
        <w:pStyle w:val="20"/>
        <w:shd w:val="clear" w:color="auto" w:fill="auto"/>
        <w:jc w:val="right"/>
        <w:rPr>
          <w:color w:val="000000"/>
          <w:lang w:eastAsia="ru-RU" w:bidi="ru-RU"/>
        </w:rPr>
      </w:pPr>
    </w:p>
    <w:p w:rsidR="00184D3A" w:rsidRDefault="00184D3A" w:rsidP="00184D3A">
      <w:pPr>
        <w:widowControl/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sectPr w:rsidR="00184D3A">
          <w:type w:val="continuous"/>
          <w:pgSz w:w="11900" w:h="16840"/>
          <w:pgMar w:top="1498" w:right="1056" w:bottom="888" w:left="922" w:header="0" w:footer="3" w:gutter="0"/>
          <w:cols w:num="2" w:space="158"/>
          <w:noEndnote/>
          <w:docGrid w:linePitch="360"/>
        </w:sectPr>
      </w:pPr>
    </w:p>
    <w:p w:rsidR="00184D3A" w:rsidRPr="00184D3A" w:rsidRDefault="00184D3A" w:rsidP="00184D3A">
      <w:pPr>
        <w:widowControl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lastRenderedPageBreak/>
        <w:t>саждениях сорта Ркацители в Юго-западном Крыму (АО «Агрофирма «Черноморец») и сорта Каберне-Совиньон в Южнобережном Крыму (ГП «Ливадия»). При исследованиях использовались общепринятые методы, применяемые в вино</w:t>
      </w: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softHyphen/>
        <w:t>градарстве и защите растений: маршрутные обследования для установления развития за</w:t>
      </w: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softHyphen/>
        <w:t>болеваний на промышленных виноградниках; полевые исследования - для изучения дина</w:t>
      </w: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softHyphen/>
        <w:t>мики развития болезней, определения уро</w:t>
      </w: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softHyphen/>
        <w:t>жайности винограда; лабораторные исследо</w:t>
      </w: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softHyphen/>
        <w:t xml:space="preserve">вания - для </w:t>
      </w:r>
      <w:bookmarkStart w:id="1" w:name="_GoBack"/>
      <w:bookmarkEnd w:id="1"/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t>определения содержания сахаров и титруемых кислот в соке ягод винограда; расчетные, математико-статистический - для вычисления развития заболеваний, биологичес</w:t>
      </w: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softHyphen/>
        <w:t>кой эффективности фунгицидов.</w:t>
      </w:r>
    </w:p>
    <w:p w:rsidR="00184D3A" w:rsidRPr="00184D3A" w:rsidRDefault="00184D3A" w:rsidP="00184D3A">
      <w:pPr>
        <w:widowControl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t>В ходе проведения опытов установлено, что применение поверхностно-активных препаратов при проведении химических опрыскиваний по</w:t>
      </w: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softHyphen/>
        <w:t>зволяет сократить количество обработок без по</w:t>
      </w: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softHyphen/>
        <w:t>тери биологической эффективности (90-95 %) защитных мероприятий. Отмечено существен</w:t>
      </w: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softHyphen/>
        <w:t>ное снижение уровня развития заболеваний (милдью и оидиума) и повышение урожайности винограда технических сортов на 8-10 %.</w:t>
      </w:r>
    </w:p>
    <w:p w:rsidR="00184D3A" w:rsidRPr="00184D3A" w:rsidRDefault="00184D3A" w:rsidP="00184D3A">
      <w:pPr>
        <w:widowControl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t>Таким образом, процесс оптимизации ресур</w:t>
      </w: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softHyphen/>
        <w:t>соемкости обеспечивает положительную ди</w:t>
      </w:r>
      <w:r w:rsidRPr="00184D3A">
        <w:rPr>
          <w:rFonts w:ascii="Century Schoolbook" w:eastAsia="Times New Roman" w:hAnsi="Century Schoolbook" w:cs="Century Schoolbook"/>
          <w:sz w:val="20"/>
          <w:szCs w:val="20"/>
          <w:lang w:val="ru-RU" w:eastAsia="ru-RU" w:bidi="ar-SA"/>
        </w:rPr>
        <w:softHyphen/>
        <w:t>намику показателей технолого-экономической эффективности за счет качественных и количественных приростов: снижение издержек на производство продукции относительно дохода, дополнительный доход от продаж.</w:t>
      </w:r>
    </w:p>
    <w:p w:rsidR="00184D3A" w:rsidRDefault="00184D3A" w:rsidP="00184D3A">
      <w:pPr>
        <w:pStyle w:val="20"/>
        <w:shd w:val="clear" w:color="auto" w:fill="auto"/>
        <w:jc w:val="right"/>
        <w:sectPr w:rsidR="00184D3A" w:rsidSect="00184D3A">
          <w:type w:val="continuous"/>
          <w:pgSz w:w="11900" w:h="16840"/>
          <w:pgMar w:top="1498" w:right="1056" w:bottom="888" w:left="922" w:header="0" w:footer="3" w:gutter="0"/>
          <w:cols w:num="2" w:space="158"/>
          <w:noEndnote/>
          <w:docGrid w:linePitch="360"/>
        </w:sectPr>
      </w:pPr>
    </w:p>
    <w:p w:rsidR="00184D3A" w:rsidRDefault="00184D3A" w:rsidP="00184D3A">
      <w:pPr>
        <w:spacing w:before="78" w:after="78" w:line="240" w:lineRule="exact"/>
        <w:rPr>
          <w:sz w:val="19"/>
          <w:szCs w:val="19"/>
        </w:rPr>
      </w:pPr>
    </w:p>
    <w:p w:rsidR="00AF3583" w:rsidRDefault="00184D3A"/>
    <w:sectPr w:rsidR="00AF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3A"/>
    <w:rsid w:val="00184D3A"/>
    <w:rsid w:val="005C7E7E"/>
    <w:rsid w:val="009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58B2"/>
  <w15:chartTrackingRefBased/>
  <w15:docId w15:val="{EF88C12C-D7E5-44FF-BC1C-6330939D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4D3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4D3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84D3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84D3A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84D3A"/>
    <w:rPr>
      <w:rFonts w:ascii="Verdana" w:eastAsia="Verdana" w:hAnsi="Verdana" w:cs="Verdana"/>
      <w:sz w:val="18"/>
      <w:szCs w:val="18"/>
      <w:shd w:val="clear" w:color="auto" w:fill="FFFFFF"/>
      <w:lang w:eastAsia="ru-RU" w:bidi="ru-RU"/>
    </w:rPr>
  </w:style>
  <w:style w:type="character" w:customStyle="1" w:styleId="41">
    <w:name w:val="Основной текст (4) + Полужирный"/>
    <w:basedOn w:val="4"/>
    <w:rsid w:val="00184D3A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eastAsia="ru-RU" w:bidi="ru-RU"/>
    </w:rPr>
  </w:style>
  <w:style w:type="character" w:customStyle="1" w:styleId="1">
    <w:name w:val="Заголовок №1_"/>
    <w:basedOn w:val="a0"/>
    <w:link w:val="10"/>
    <w:rsid w:val="00184D3A"/>
    <w:rPr>
      <w:rFonts w:ascii="Arial" w:eastAsia="Arial" w:hAnsi="Arial" w:cs="Arial"/>
      <w:b/>
      <w:bCs/>
      <w:sz w:val="28"/>
      <w:szCs w:val="28"/>
      <w:shd w:val="clear" w:color="auto" w:fill="FFFFFF"/>
      <w:lang w:eastAsia="ru-RU" w:bidi="ru-RU"/>
    </w:rPr>
  </w:style>
  <w:style w:type="character" w:customStyle="1" w:styleId="42">
    <w:name w:val="Основной текст (4) + Курсив"/>
    <w:basedOn w:val="4"/>
    <w:rsid w:val="00184D3A"/>
    <w:rPr>
      <w:rFonts w:ascii="Verdana" w:eastAsia="Verdana" w:hAnsi="Verdana" w:cs="Verdana"/>
      <w:i/>
      <w:iCs/>
      <w:color w:val="000000"/>
      <w:spacing w:val="0"/>
      <w:w w:val="100"/>
      <w:position w:val="0"/>
      <w:sz w:val="18"/>
      <w:szCs w:val="18"/>
      <w:shd w:val="clear" w:color="auto" w:fill="FFFFFF"/>
      <w:lang w:eastAsia="ru-RU" w:bidi="ru-RU"/>
    </w:rPr>
  </w:style>
  <w:style w:type="paragraph" w:customStyle="1" w:styleId="20">
    <w:name w:val="Основной текст (2)"/>
    <w:basedOn w:val="a"/>
    <w:link w:val="2"/>
    <w:rsid w:val="00184D3A"/>
    <w:pPr>
      <w:shd w:val="clear" w:color="auto" w:fill="FFFFFF"/>
      <w:spacing w:line="216" w:lineRule="exact"/>
      <w:jc w:val="both"/>
    </w:pPr>
    <w:rPr>
      <w:rFonts w:ascii="Century Schoolbook" w:eastAsia="Century Schoolbook" w:hAnsi="Century Schoolbook" w:cs="Century Schoolbook"/>
      <w:color w:val="auto"/>
      <w:sz w:val="20"/>
      <w:szCs w:val="20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184D3A"/>
    <w:pPr>
      <w:shd w:val="clear" w:color="auto" w:fill="FFFFFF"/>
      <w:spacing w:line="221" w:lineRule="exact"/>
    </w:pPr>
    <w:rPr>
      <w:rFonts w:ascii="Arial" w:eastAsia="Arial" w:hAnsi="Arial" w:cs="Arial"/>
      <w:color w:val="auto"/>
      <w:sz w:val="18"/>
      <w:szCs w:val="18"/>
      <w:lang w:val="ru-RU" w:eastAsia="en-US" w:bidi="ar-SA"/>
    </w:rPr>
  </w:style>
  <w:style w:type="paragraph" w:customStyle="1" w:styleId="40">
    <w:name w:val="Основной текст (4)"/>
    <w:basedOn w:val="a"/>
    <w:link w:val="4"/>
    <w:rsid w:val="00184D3A"/>
    <w:pPr>
      <w:shd w:val="clear" w:color="auto" w:fill="FFFFFF"/>
      <w:spacing w:line="221" w:lineRule="exact"/>
    </w:pPr>
    <w:rPr>
      <w:rFonts w:ascii="Verdana" w:eastAsia="Verdana" w:hAnsi="Verdana" w:cs="Verdana"/>
      <w:color w:val="auto"/>
      <w:sz w:val="18"/>
      <w:szCs w:val="18"/>
      <w:lang w:val="ru-RU" w:eastAsia="ru-RU" w:bidi="ru-RU"/>
    </w:rPr>
  </w:style>
  <w:style w:type="paragraph" w:customStyle="1" w:styleId="10">
    <w:name w:val="Заголовок №1"/>
    <w:basedOn w:val="a"/>
    <w:link w:val="1"/>
    <w:rsid w:val="00184D3A"/>
    <w:pPr>
      <w:shd w:val="clear" w:color="auto" w:fill="FFFFFF"/>
      <w:spacing w:before="240" w:line="302" w:lineRule="exact"/>
      <w:jc w:val="center"/>
      <w:outlineLvl w:val="0"/>
    </w:pPr>
    <w:rPr>
      <w:rFonts w:ascii="Arial" w:eastAsia="Arial" w:hAnsi="Arial" w:cs="Arial"/>
      <w:b/>
      <w:bCs/>
      <w:color w:val="auto"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el.didenko.8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2017-04-26T06:42:00Z</dcterms:created>
  <dcterms:modified xsi:type="dcterms:W3CDTF">2017-04-26T06:44:00Z</dcterms:modified>
</cp:coreProperties>
</file>