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ФОРМУВАННЯ, ПОПОВНЕННЯ ТА ЗБЕРІГАННЯ КОЛЕКЦІЙ КІСТОЧКОВИХ КУЛЬТУР ДЛЯ ВИКОРИСТАННЯ                               В СЕЛЕКЦІЙНИХ ПРОГРАМАХ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FORMATION, REPLENISHMENT AND STORAGE OF STONE CROPS COLLECTIONS FOR USE IN BREEDING PROGRAMS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В.В. Ласкавий, Л.В. Галич, О.С.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Дячук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V.V.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Laskavyi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L.V.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Halych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O.S.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Dyachuk</w:t>
      </w:r>
      <w:proofErr w:type="spellEnd"/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Інститут помології ім. Л.П. Симиренка НААН 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for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Pomology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a. L.P.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Symyrenko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Общий объем коллекций генофонда косточковых культур Института помологии им. Л.П. Симиренко НААН насчитывает 409 образцов: сливы - 179, вишни и черешни - 54, абрикоса - 72 и кизила - 50. Коллекция постоянно пополняется. По результатам комплексного изучения образцов косточковых культур были сформированы и зарегистрированы в НЦГРРУ сердцевинные коллекции сливы; признаковые коллекции вишни, черешни, абрикоса, кизила. Образцы наиболее ценные по хозяйственно-биологическим показателям регистрируются в НЦГРРУ и передаются для дальнейшей селекционной работы.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The total amount of the gene pool collections of stone fruits of the Institute for Pomology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nd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.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a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. L.P.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Symyrenko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 of NAAS is of 409 accessions, in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particuler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: plums – 179, sour and sweet cherries – 54, apricot - 72 and cornel - 50. The collection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is constantly updated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. According to the results of a comprehensive study of stone fruit accessions, there were formed and registered in NCPGRU core collection of plum; trait collections of sour and sweet cherries, apricot, cornel. The accessions that are the most valuable for economic and biological traits are being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>registered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pacing w:val="-1"/>
          <w:sz w:val="16"/>
          <w:szCs w:val="16"/>
          <w:lang w:val="en-GB"/>
        </w:rPr>
        <w:t xml:space="preserve"> in the NCPGRU and transferred for further breeding use.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Формування, вивчення і довгострокове збереження колекцій зразків кісточкових культур проводиться для подальшого використання в селекційних, наукових, навчальних та інших проектах.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При створенні нових сортів зразки колекцій стають основою селекційного процесу. Селекційні завдання формуються залежно від соціально-економічних вимог до сорту, які обумовлюються напрямками використання продукції, природно-кліматичними умовами зони її виробництва та конкурентоздатністю на ринках збуту. При цьому формуються селекційні завдання: вирішення питань адаптації (морозостійкості, зимостійкості, посухостійкості), стійкості до найбільш шкодо чинних збудників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хвороб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шкідників, підвищення продуктивності насаджень і якості продукції. Комплексне вивчення і відбір цінних зразків генофонду кісточкових культур спрямоване на вирішення цих питань.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Дослідження проведені в Інституті помології ім. Л.П. Симиренка НААН. Методами досліджень були польовий, лабораторний і статистичний. Обліки і спостереження проводилися в колекційних насадженнях, визначення біохімічного складу плодів – в лабораторії біохімічних аналізів.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Об’єктами досліджень були зразки генофонду сливи, вишні, черешні, абрикосу і дерену. Дослідження проводилися відповідно до «Методики державного випробування сортів рослин на придатність до поширення в Україні», обробка результатів досліджень – «Методики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полевогоопыта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»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Доспєхова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Б.О.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На 2016 р. загальний об’єм колекцій генофонду кісточкових культур Інституту помології ім. Л.П. Симиренка НААН України складає 409 зразків: сливи – 179, вишні і черешні – по 54, абрикосу – 72 і дерену – 50. Склад колекцій постійно поповняється за рахунок інтродукції закордонних та вітчизняних зразків, а також за рахунок зразків відібраних в результаті експедиційних обстежень.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За результатами комплексного вивчення зразків кісточкових культур сформовано: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color w:val="000000"/>
          <w:sz w:val="20"/>
          <w:lang w:val="uk-UA"/>
        </w:rPr>
        <w:t xml:space="preserve">- 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серцевинна колекція сливи загальною кількістю 163 зразків п’яти ботанічних видів за 58 ознаками з сумою прояву ознак 194;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AC3144">
        <w:rPr>
          <w:color w:val="000000"/>
          <w:spacing w:val="-2"/>
          <w:sz w:val="20"/>
          <w:lang w:val="uk-UA"/>
        </w:rPr>
        <w:t xml:space="preserve">–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ознакова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колекція вишні загальною кількістю 50 зразків виду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Prunus_Cerasus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(L)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Moench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за 20 ознаками з сумою прояву ознак 78;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AC3144">
        <w:rPr>
          <w:color w:val="000000"/>
          <w:spacing w:val="-2"/>
          <w:sz w:val="20"/>
          <w:lang w:val="uk-UA"/>
        </w:rPr>
        <w:t xml:space="preserve">–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ознакова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колекція черешні загальною кількістю 50 зразків виду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Prunusavium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(L)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Moenchза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21 ознакою з сумою прояву ознак 89;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color w:val="000000"/>
          <w:sz w:val="20"/>
          <w:lang w:val="uk-UA"/>
        </w:rPr>
        <w:t xml:space="preserve">–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ознакова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колекція абрикосу загальною кількістю 47 зразків виду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PrunusamericanaL.за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17 ознаками з сумою прояву ознак 67;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color w:val="000000"/>
          <w:sz w:val="20"/>
          <w:lang w:val="uk-UA"/>
        </w:rPr>
        <w:t xml:space="preserve">–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ознакова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колекція дерену загальною кількістю 50 зразків виду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CornusmasL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 за 16 ознаками з сумою прояву ознак 61.</w:t>
      </w:r>
    </w:p>
    <w:p w:rsidR="008041AF" w:rsidRPr="00AC3144" w:rsidRDefault="008041AF" w:rsidP="008041AF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Зразки з найбільш цінними господарсько-біологічними показниками виділяються в якості донорів для подальшої селекційної роботи і реєструються в НЦГРРУ.</w:t>
      </w:r>
    </w:p>
    <w:p w:rsidR="00A76681" w:rsidRPr="008041AF" w:rsidRDefault="008041AF">
      <w:pPr>
        <w:rPr>
          <w:lang w:val="uk-UA"/>
        </w:rPr>
      </w:pPr>
      <w:bookmarkStart w:id="0" w:name="_GoBack"/>
      <w:bookmarkEnd w:id="0"/>
    </w:p>
    <w:sectPr w:rsidR="00A76681" w:rsidRPr="0080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AF"/>
    <w:rsid w:val="00445505"/>
    <w:rsid w:val="008041AF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52E7-06BD-49B7-AC9A-464147CA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2017-04-10T11:38:00Z</dcterms:created>
  <dcterms:modified xsi:type="dcterms:W3CDTF">2017-04-10T11:39:00Z</dcterms:modified>
</cp:coreProperties>
</file>