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BB9" w:rsidRPr="00AC3144" w:rsidRDefault="00990BB9" w:rsidP="00990BB9">
      <w:pPr>
        <w:suppressAutoHyphens/>
        <w:autoSpaceDE w:val="0"/>
        <w:autoSpaceDN w:val="0"/>
        <w:adjustRightInd w:val="0"/>
        <w:spacing w:after="60" w:line="240" w:lineRule="atLeast"/>
        <w:jc w:val="center"/>
        <w:textAlignment w:val="center"/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</w:pP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ІНТРОДУКЦІЯ І СЕЛЕКЦІЙНЕ ПОКРАЩЕННЯ ВеЛИКОПЛОДОГО КИТАЙСЬКОГО ГЛОДУ (</w:t>
      </w:r>
      <w:r w:rsidRPr="00AC3144">
        <w:rPr>
          <w:rFonts w:ascii="PragmaticaCTT" w:hAnsi="PragmaticaCTT" w:cs="PragmaticaCTT"/>
          <w:b/>
          <w:bCs/>
          <w:i/>
          <w:iCs/>
          <w:caps/>
          <w:color w:val="000000"/>
          <w:sz w:val="22"/>
          <w:szCs w:val="22"/>
          <w:lang w:val="uk-UA"/>
        </w:rPr>
        <w:t>CRATAEGUS PINNATIFIDA</w:t>
      </w: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 xml:space="preserve"> VAR. </w:t>
      </w:r>
      <w:r w:rsidRPr="00AC3144">
        <w:rPr>
          <w:rFonts w:ascii="PragmaticaCTT" w:hAnsi="PragmaticaCTT" w:cs="PragmaticaCTT"/>
          <w:b/>
          <w:bCs/>
          <w:i/>
          <w:iCs/>
          <w:caps/>
          <w:color w:val="000000"/>
          <w:sz w:val="22"/>
          <w:szCs w:val="22"/>
          <w:lang w:val="uk-UA"/>
        </w:rPr>
        <w:t>MAJOR</w:t>
      </w:r>
      <w:r w:rsidRPr="00AC3144">
        <w:rPr>
          <w:rFonts w:ascii="PragmaticaCTT" w:hAnsi="PragmaticaCTT" w:cs="PragmaticaCTT"/>
          <w:b/>
          <w:bCs/>
          <w:caps/>
          <w:color w:val="000000"/>
          <w:sz w:val="22"/>
          <w:szCs w:val="22"/>
          <w:lang w:val="uk-UA"/>
        </w:rPr>
        <w:t>)</w:t>
      </w:r>
    </w:p>
    <w:p w:rsidR="00990BB9" w:rsidRPr="00AC3144" w:rsidRDefault="00990BB9" w:rsidP="00990BB9">
      <w:pPr>
        <w:suppressAutoHyphens/>
        <w:autoSpaceDE w:val="0"/>
        <w:autoSpaceDN w:val="0"/>
        <w:adjustRightInd w:val="0"/>
        <w:spacing w:after="60" w:line="220" w:lineRule="atLeast"/>
        <w:jc w:val="center"/>
        <w:textAlignment w:val="center"/>
        <w:rPr>
          <w:rFonts w:ascii="PragmaticaCTT" w:hAnsi="PragmaticaCTT" w:cs="PragmaticaCTT"/>
          <w:caps/>
          <w:color w:val="000000"/>
          <w:sz w:val="20"/>
          <w:szCs w:val="20"/>
          <w:lang w:val="uk-UA"/>
        </w:rPr>
      </w:pPr>
      <w:r w:rsidRPr="00AC3144">
        <w:rPr>
          <w:rFonts w:ascii="PragmaticaCTT" w:hAnsi="PragmaticaCTT" w:cs="PragmaticaCTT"/>
          <w:color w:val="000000"/>
          <w:sz w:val="20"/>
          <w:szCs w:val="20"/>
          <w:lang w:val="uk-UA"/>
        </w:rPr>
        <w:t>INTRODUCTION AND BREEDING IMPROVEMENT OF MACROCARPA CHINESE HAWTHORN (CRATAEGUS PINNATIFIDA VAR. MAJOR)</w:t>
      </w:r>
    </w:p>
    <w:p w:rsidR="00990BB9" w:rsidRPr="00AC3144" w:rsidRDefault="00990BB9" w:rsidP="00990BB9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В.М.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Меженський</w:t>
      </w:r>
      <w:proofErr w:type="spellEnd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 xml:space="preserve">, Л.О. </w:t>
      </w:r>
      <w:proofErr w:type="spellStart"/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Меженська</w:t>
      </w:r>
      <w:proofErr w:type="spellEnd"/>
    </w:p>
    <w:p w:rsidR="00990BB9" w:rsidRPr="00AC3144" w:rsidRDefault="00990BB9" w:rsidP="00990BB9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V.M.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Mezhenskyi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, L.O.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Mezhenska</w:t>
      </w:r>
      <w:proofErr w:type="spellEnd"/>
    </w:p>
    <w:p w:rsidR="00990BB9" w:rsidRPr="00AC3144" w:rsidRDefault="00990BB9" w:rsidP="00990BB9">
      <w:pPr>
        <w:suppressAutoHyphens/>
        <w:autoSpaceDE w:val="0"/>
        <w:autoSpaceDN w:val="0"/>
        <w:adjustRightInd w:val="0"/>
        <w:spacing w:after="40" w:line="200" w:lineRule="atLeast"/>
        <w:jc w:val="center"/>
        <w:textAlignment w:val="center"/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</w:pPr>
      <w:r w:rsidRPr="00AC3144">
        <w:rPr>
          <w:rFonts w:ascii="PragmaticaCTT" w:hAnsi="PragmaticaCTT" w:cs="PragmaticaCTT"/>
          <w:b/>
          <w:bCs/>
          <w:color w:val="000000"/>
          <w:sz w:val="18"/>
          <w:szCs w:val="18"/>
          <w:lang w:val="uk-UA"/>
        </w:rPr>
        <w:t>Національний університет біоресурсів                                                                        в природокористування України</w:t>
      </w:r>
    </w:p>
    <w:p w:rsidR="00990BB9" w:rsidRPr="00AC3144" w:rsidRDefault="00990BB9" w:rsidP="00990BB9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National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University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Life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and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Environmental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Sciences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of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Ukraine</w:t>
      </w:r>
      <w:proofErr w:type="spellEnd"/>
    </w:p>
    <w:p w:rsidR="00990BB9" w:rsidRPr="00AC3144" w:rsidRDefault="00990BB9" w:rsidP="00990BB9">
      <w:pPr>
        <w:suppressAutoHyphens/>
        <w:autoSpaceDE w:val="0"/>
        <w:autoSpaceDN w:val="0"/>
        <w:adjustRightInd w:val="0"/>
        <w:spacing w:after="40" w:line="180" w:lineRule="atLeast"/>
        <w:jc w:val="center"/>
        <w:textAlignment w:val="center"/>
        <w:rPr>
          <w:rFonts w:ascii="PragmaticaCTT" w:hAnsi="PragmaticaCTT" w:cs="PragmaticaCTT"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e-</w:t>
      </w:r>
      <w:proofErr w:type="spellStart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mail</w:t>
      </w:r>
      <w:proofErr w:type="spellEnd"/>
      <w:r w:rsidRPr="00AC3144">
        <w:rPr>
          <w:rFonts w:ascii="PragmaticaCTT" w:hAnsi="PragmaticaCTT" w:cs="PragmaticaCTT"/>
          <w:color w:val="000000"/>
          <w:sz w:val="16"/>
          <w:szCs w:val="16"/>
          <w:lang w:val="uk-UA"/>
        </w:rPr>
        <w:t>: mezh1956@ukr.net</w:t>
      </w:r>
    </w:p>
    <w:p w:rsidR="00990BB9" w:rsidRPr="00AC3144" w:rsidRDefault="00990BB9" w:rsidP="00990BB9">
      <w:pPr>
        <w:suppressAutoHyphens/>
        <w:autoSpaceDE w:val="0"/>
        <w:autoSpaceDN w:val="0"/>
        <w:adjustRightInd w:val="0"/>
        <w:spacing w:before="60" w:line="180" w:lineRule="atLeast"/>
        <w:ind w:firstLine="283"/>
        <w:jc w:val="both"/>
        <w:textAlignment w:val="center"/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На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территории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Китая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встречается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несколько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видов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крупноплодного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боярышника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, в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частности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,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боярышник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перистый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большой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-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Crataegus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pinnatifida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Bunge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var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major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N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.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E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>.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Br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. (= 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C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bretschneideri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 С.К.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Schneid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  <w:lang w:val="uk-UA"/>
        </w:rPr>
        <w:t xml:space="preserve">.). </w:t>
      </w: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Высокая зимостойкость и устойчивость к биотическим факторам окружающей среды, пищевая и лечебно-профилактическая ценность позволяют культивировать боярышник перистый большой на всей территории Украины. Собранные авторами образцы и новые отборы «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Mao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Mao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» и «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Redflesh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Mao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» (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Редфлеш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Mao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u w:color="000000"/>
        </w:rPr>
        <w:t>) рекомендуются для широкого внедрения в любительское садоводство и зеленое строительство и создание промышленных сырьевых садов плодового и фармацевтического назначения.</w:t>
      </w:r>
    </w:p>
    <w:p w:rsidR="00990BB9" w:rsidRPr="00AC3144" w:rsidRDefault="00990BB9" w:rsidP="00990BB9">
      <w:pPr>
        <w:suppressAutoHyphens/>
        <w:autoSpaceDE w:val="0"/>
        <w:autoSpaceDN w:val="0"/>
        <w:adjustRightInd w:val="0"/>
        <w:spacing w:before="60" w:after="60" w:line="180" w:lineRule="atLeast"/>
        <w:ind w:firstLine="283"/>
        <w:jc w:val="both"/>
        <w:textAlignment w:val="center"/>
        <w:rPr>
          <w:rFonts w:ascii="SchoolBookCTT" w:hAnsi="SchoolBookCTT" w:cs="SchoolBookCTT"/>
          <w:i/>
          <w:iCs/>
          <w:color w:val="000000"/>
          <w:sz w:val="16"/>
          <w:szCs w:val="16"/>
          <w:lang w:val="uk-UA"/>
        </w:rPr>
      </w:pPr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In China, there are occur some species of large-fruit hawthorn, in particular, a large pinnate hawthorn -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Crataegus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pinnatifida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Bunge var. major N.E.Br. (= C.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bretschneideri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S.K.Schneid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.). High winter hardiness and resistance to biotic environment factors, food, therapeutic and prophylactic value allow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to cultivate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large pinnate hawthorn on the whole territory of Ukraine. The collected by the authors and new selections «Mao 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Mao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» and «</w:t>
      </w:r>
      <w:proofErr w:type="spell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Redflesh</w:t>
      </w:r>
      <w:proofErr w:type="spell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Mao» </w:t>
      </w:r>
      <w:proofErr w:type="gramStart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>are recommended</w:t>
      </w:r>
      <w:proofErr w:type="gramEnd"/>
      <w:r w:rsidRPr="00AC3144">
        <w:rPr>
          <w:rFonts w:ascii="PragmaticaCTT" w:hAnsi="PragmaticaCTT" w:cs="PragmaticaCTT"/>
          <w:i/>
          <w:iCs/>
          <w:color w:val="000000"/>
          <w:sz w:val="16"/>
          <w:szCs w:val="16"/>
          <w:lang w:val="en-GB"/>
        </w:rPr>
        <w:t xml:space="preserve"> for wide introduction in amateur gardening and green building and for creation of industrial raw fruit orchards and for pharmaceutical purposes.</w:t>
      </w:r>
    </w:p>
    <w:p w:rsidR="00990BB9" w:rsidRPr="00AC3144" w:rsidRDefault="00990BB9" w:rsidP="00990BB9">
      <w:pPr>
        <w:tabs>
          <w:tab w:val="right" w:pos="864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На теренах Китаю трапляється декілька видів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великоплодого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глоду, зокрема, глід пірчастий великий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–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Crataegus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pinnatifida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Bunge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var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major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N.E.Br. (=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C.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bretschneideri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С.К.Schneid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.). У середині ХХ сторіччя на півночі Китаю він мав більше економічне значення, аніж яблуня чи груша. У китайському Національному сховищі генетичних ресурсів глоду зосереджено сортове різноманіття і дібрано кращі зразки для створення промислових плантацій 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Guo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Jiaj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1995;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Zhang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Xin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1995;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Li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et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al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., 2000).</w:t>
      </w:r>
    </w:p>
    <w:p w:rsidR="00990BB9" w:rsidRPr="00AC3144" w:rsidRDefault="00990BB9" w:rsidP="00990BB9">
      <w:pPr>
        <w:tabs>
          <w:tab w:val="right" w:pos="864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Вперше глід пірчастий великий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було інтродуковано в Україні, вірогідно, на початку минулого сторіччя, але потім втрачено. Наступна інтродукція мала місце в 1970-х рр., коли з Китаю було завезено один з сортів, що поширився в аматорській культурі. Так як назва цього сорту невідома, ми дали йому назву ‘Китайський </w:t>
      </w:r>
      <w:smartTag w:uri="urn:schemas-microsoft-com:office:smarttags" w:element="metricconverter">
        <w:smartTagPr>
          <w:attr w:name="ProductID" w:val="1’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1’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Він є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найвеликоплодішим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з-поміж усіх зразків колекції видів і сортів глоду, зібраної нами, що складалася зі 120 зразків 46 видів і 7 сортів (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Меженська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2007;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Меженська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Меженський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, 2013).</w:t>
      </w:r>
    </w:p>
    <w:p w:rsidR="00990BB9" w:rsidRPr="00AC3144" w:rsidRDefault="00990BB9" w:rsidP="00990BB9">
      <w:pPr>
        <w:tabs>
          <w:tab w:val="right" w:pos="864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Темно-червоні плоди ‘Китайського </w:t>
      </w:r>
      <w:smartTag w:uri="urn:schemas-microsoft-com:office:smarttags" w:element="metricconverter">
        <w:smartTagPr>
          <w:attr w:name="ProductID" w:val="1’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1’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сягають </w:t>
      </w:r>
      <w:smartTag w:uri="urn:schemas-microsoft-com:office:smarttags" w:element="metricconverter">
        <w:smartTagPr>
          <w:attr w:name="ProductID" w:val="3 см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3 см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 діаметрі і маси </w:t>
      </w:r>
      <w:smartTag w:uri="urn:schemas-microsoft-com:office:smarttags" w:element="metricconverter">
        <w:smartTagPr>
          <w:attr w:name="ProductID" w:val="15 г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15 г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Достигають в жовтні, мають посередні смакові властивості – 5 балів, за 9-бальною шкалою. Насіннєве потомство успадковує великий розмір плодів, тому </w:t>
      </w:r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C.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pinnatifida</w:t>
      </w:r>
      <w:proofErr w:type="spellEnd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var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  <w:proofErr w:type="spellStart"/>
      <w:r w:rsidRPr="00AC3144">
        <w:rPr>
          <w:rFonts w:ascii="SchoolBookCTT" w:hAnsi="SchoolBookCTT" w:cs="SchoolBookCTT"/>
          <w:i/>
          <w:iCs/>
          <w:color w:val="000000"/>
          <w:sz w:val="20"/>
          <w:szCs w:val="20"/>
          <w:lang w:val="uk-UA"/>
        </w:rPr>
        <w:t>major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є цінним донором в селекції на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великоплодість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. </w:t>
      </w:r>
    </w:p>
    <w:p w:rsidR="00990BB9" w:rsidRPr="00AC3144" w:rsidRDefault="00990BB9" w:rsidP="00990BB9">
      <w:pPr>
        <w:tabs>
          <w:tab w:val="right" w:pos="864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У 1990-х рр. з Китаю було інтродуковано насіння інших сортів, сіянці яких доведено нами до плодоношення. У порівнянні з ‘Китайським </w:t>
      </w:r>
      <w:smartTag w:uri="urn:schemas-microsoft-com:office:smarttags" w:element="metricconverter">
        <w:smartTagPr>
          <w:attr w:name="ProductID" w:val="1’"/>
        </w:smartTagPr>
        <w:r w:rsidRPr="00AC3144">
          <w:rPr>
            <w:rFonts w:ascii="SchoolBookCTT" w:hAnsi="SchoolBookCTT" w:cs="SchoolBookCTT"/>
            <w:color w:val="000000"/>
            <w:sz w:val="20"/>
            <w:szCs w:val="20"/>
            <w:lang w:val="uk-UA"/>
          </w:rPr>
          <w:t>1’</w:t>
        </w:r>
      </w:smartTag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вони мають нижчу і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розлогішу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крону та дещо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ранніший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початок достигання плодів. Двом з них ми дали сортові назви – ‘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Mao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Mao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’ і ‘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Redflesh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Mao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’ (‘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Редфлеш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Mao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’). ‘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Mao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Mao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’ має брунатні пагони, з великими білуватими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сочевичками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, майже без колючок. Листки яйцеподібні, 5–7-лопатеві, голі. Плоди кулясті до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яйцеподібно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-кулястих, 2–2,5 см в діаметрі, яскраво-червоні, з великими білими бородавками, масою 10 (12) г. М’якуш жовтуватий, кислий. Плоди достигають наприкінці вересня–початку жовтня. У ‘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Редфлеш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Mao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’ м’якуш плодів через високий уміст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антоціанів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має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інтенсивно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червоне забарвлення, що збільшує привабливість плодів і підвищує їхню харчову і лікувально-профілактичну цінність. Зразок, подібний до ‘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Редфлеш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 </w:t>
      </w:r>
      <w:proofErr w:type="spellStart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Mao</w:t>
      </w:r>
      <w:proofErr w:type="spellEnd"/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 xml:space="preserve">’ за забарвленням м’якуша, інтродуковано також з Чеської Республіки. </w:t>
      </w:r>
    </w:p>
    <w:p w:rsidR="00990BB9" w:rsidRPr="00AC3144" w:rsidRDefault="00990BB9" w:rsidP="00990BB9">
      <w:pPr>
        <w:tabs>
          <w:tab w:val="right" w:pos="8640"/>
        </w:tabs>
        <w:suppressAutoHyphens/>
        <w:autoSpaceDE w:val="0"/>
        <w:autoSpaceDN w:val="0"/>
        <w:adjustRightInd w:val="0"/>
        <w:spacing w:line="288" w:lineRule="auto"/>
        <w:ind w:firstLine="283"/>
        <w:jc w:val="both"/>
        <w:textAlignment w:val="center"/>
        <w:rPr>
          <w:rFonts w:ascii="SchoolBookCTT" w:hAnsi="SchoolBookCTT" w:cs="SchoolBookCTT"/>
          <w:color w:val="000000"/>
          <w:sz w:val="20"/>
          <w:szCs w:val="20"/>
          <w:lang w:val="uk-UA"/>
        </w:rPr>
      </w:pPr>
      <w:r w:rsidRPr="00AC3144">
        <w:rPr>
          <w:rFonts w:ascii="SchoolBookCTT" w:hAnsi="SchoolBookCTT" w:cs="SchoolBookCTT"/>
          <w:color w:val="000000"/>
          <w:sz w:val="20"/>
          <w:szCs w:val="20"/>
          <w:lang w:val="uk-UA"/>
        </w:rPr>
        <w:t>Висока зимостійкість та стійкість до біотичних чинників довкілля дозволяють культивувати глід пірчастий великий на всій території України. Зібрані нами зразки та нові добори рекомендується для ширшого впровадження в аматорське садівництво і зелене будівництво та створення промислових сировинних садів плодового і фармацевтичного призначення.</w:t>
      </w:r>
    </w:p>
    <w:p w:rsidR="00A76681" w:rsidRPr="00990BB9" w:rsidRDefault="00990BB9">
      <w:pPr>
        <w:rPr>
          <w:lang w:val="uk-UA"/>
        </w:rPr>
      </w:pPr>
      <w:bookmarkStart w:id="0" w:name="_GoBack"/>
      <w:bookmarkEnd w:id="0"/>
    </w:p>
    <w:sectPr w:rsidR="00A76681" w:rsidRPr="00990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SchoolBookCTT">
    <w:altName w:val="Times New Roman"/>
    <w:charset w:val="CC"/>
    <w:family w:val="auto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BB9"/>
    <w:rsid w:val="00445505"/>
    <w:rsid w:val="00990BB9"/>
    <w:rsid w:val="00F8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024D99-8B0D-41A2-9841-861E76E56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3670</Characters>
  <Application>Microsoft Office Word</Application>
  <DocSecurity>0</DocSecurity>
  <Lines>30</Lines>
  <Paragraphs>8</Paragraphs>
  <ScaleCrop>false</ScaleCrop>
  <Company>SPecialiST RePack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Коховська Iрина</dc:creator>
  <cp:keywords/>
  <dc:description/>
  <cp:lastModifiedBy>Коховська Iрина</cp:lastModifiedBy>
  <cp:revision>1</cp:revision>
  <dcterms:created xsi:type="dcterms:W3CDTF">2017-04-10T11:43:00Z</dcterms:created>
  <dcterms:modified xsi:type="dcterms:W3CDTF">2017-04-10T11:43:00Z</dcterms:modified>
</cp:coreProperties>
</file>