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EED" w:rsidRPr="00AC3144" w:rsidRDefault="00613EED" w:rsidP="00613EED">
      <w:pPr>
        <w:suppressAutoHyphens/>
        <w:autoSpaceDE w:val="0"/>
        <w:autoSpaceDN w:val="0"/>
        <w:adjustRightInd w:val="0"/>
        <w:spacing w:after="6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ПЕРСПЕКТИВНЫЕ ВЕЧНОЗЕЛЕНЫЕ РАСТЕНИЯ                      ДЛЯ ОЗЕЛЕНЕНИЯ НАСЕЛЕННЫХ ПУНКТОВ                                    В ЮЖНОЙ СТЕПИ УКРАИНЫ</w:t>
      </w:r>
    </w:p>
    <w:p w:rsidR="00613EED" w:rsidRPr="00AC3144" w:rsidRDefault="00613EED" w:rsidP="00613EED">
      <w:pPr>
        <w:suppressAutoHyphens/>
        <w:autoSpaceDE w:val="0"/>
        <w:autoSpaceDN w:val="0"/>
        <w:adjustRightInd w:val="0"/>
        <w:spacing w:after="60" w:line="220" w:lineRule="atLeast"/>
        <w:jc w:val="center"/>
        <w:textAlignment w:val="center"/>
        <w:rPr>
          <w:rFonts w:ascii="PragmaticaCTT" w:hAnsi="PragmaticaCTT" w:cs="PragmaticaCTT"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PROMISING EVERGREEN PLANTS FOR LANDSCAPING SETTLEMENTS IN SOUTH STEPPE OF UKRAINE</w:t>
      </w:r>
    </w:p>
    <w:p w:rsidR="00613EED" w:rsidRPr="00AC3144" w:rsidRDefault="00613EED" w:rsidP="00613EED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Н.В.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Деревянко</w:t>
      </w:r>
      <w:proofErr w:type="spellEnd"/>
    </w:p>
    <w:p w:rsidR="00613EED" w:rsidRPr="00AC3144" w:rsidRDefault="00613EED" w:rsidP="00613EED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N.V.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Derevianko</w:t>
      </w:r>
      <w:proofErr w:type="spellEnd"/>
    </w:p>
    <w:p w:rsidR="00613EED" w:rsidRPr="00AC3144" w:rsidRDefault="00613EED" w:rsidP="00613EED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Институт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 риса НААН</w:t>
      </w:r>
    </w:p>
    <w:p w:rsidR="00613EED" w:rsidRPr="00AC3144" w:rsidRDefault="00613EED" w:rsidP="00613EED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Institute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Rice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NAAS</w:t>
      </w:r>
    </w:p>
    <w:p w:rsidR="00613EED" w:rsidRPr="00AC3144" w:rsidRDefault="00613EED" w:rsidP="00613EED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natalia.derevyanko@gmail.com</w:t>
      </w:r>
    </w:p>
    <w:p w:rsidR="00613EED" w:rsidRPr="00AC3144" w:rsidRDefault="00613EED" w:rsidP="00613EED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The zone of Southern Steppe is the warmest in Ukraine, but for most woody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vegetation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growth is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unfavorable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because of the dry climate, which is greatly enhanced by the characteristic in both summer and winter the frequent strong winds. At the same time, this area is a place of mass recreation of people. The SE EF “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Novokakhovskoye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”, a collection of ornamental trees, shrubs and lianas, which includes more than 400 taxa, 40 of which are introduced for the first time,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is created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Of them,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evergreen deciduous plants are represented by 87 species and forms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Of particular interest for landscaping in the area are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Lonicera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giraldii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Rehd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., Several species of Yucca L.,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Laurocerasus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officinalis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and its forms ‘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Serbica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’ and ‘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Schipkaensis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’ and 03.02,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Berberis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julianae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Cotoneaster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franchetii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Rois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., Euonymus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fortunei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Turez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.) Hand.-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Mazz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and its forms,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Hedera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colchica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C.Koch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.)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C.Koch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H.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taurica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Carriere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Mahonia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pinnata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(Lag.) </w:t>
      </w:r>
      <w:proofErr w:type="spellStart"/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Fedde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.,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Pyracantha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coccinea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(L.)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M.Roem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 and its forms, Viburnum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rhytidophyllum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Hemsl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, V. x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rragence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, Yucca hybrid, etc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..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A forms of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Laurocerasus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officinalis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M.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Roem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Berberis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julianae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etc. with high winter hardiness are bred.</w:t>
      </w:r>
    </w:p>
    <w:p w:rsidR="00613EED" w:rsidRPr="00AC3144" w:rsidRDefault="00613EED" w:rsidP="00613EED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2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pacing w:val="2"/>
          <w:sz w:val="20"/>
          <w:szCs w:val="20"/>
          <w:u w:color="000000"/>
        </w:rPr>
        <w:t xml:space="preserve">Зона Южной степи хотя и является наиболее теплой из больших зон на Украине, но по условиям для роста древесной растительности наиболее неблагоприятна. Объясняется это сухостью климата, выпадением малого количества осадков и большого их испарения, которое значительно усиливается характерными здесь как летом, так и зимой частыми сильными ветрами. Вместе с тем эта зона является местом наиболее массового отдыха. В населенных пунктах проживает большое количество населения. Главным фактором оптимизации окружающей среды здесь являются зеленые насаждения. </w:t>
      </w:r>
    </w:p>
    <w:p w:rsidR="00613EED" w:rsidRPr="00AC3144" w:rsidRDefault="00613EED" w:rsidP="00613EED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</w:rPr>
      </w:pP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В настоящее время, в составе зеленых насаждений региона преобладают листопадные лиственные породы, вечнозеленые лиственные представлены лишь 3-4 видами. Благодаря своей высокой декоративности, особенно в зимний период, вечнозеленые виды постоянно </w:t>
      </w:r>
      <w:proofErr w:type="spellStart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>интродуцируются</w:t>
      </w:r>
      <w:proofErr w:type="spellEnd"/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и используются в озеленении региона.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Поэтому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обогащения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ассортимента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деревьев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и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кустарников,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используемых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в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озеленении,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вечнозелеными видами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устойчивыми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к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почвенно-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климатическим условиям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региона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,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>является крайне</w:t>
      </w:r>
      <w:r w:rsidRPr="00AC3144">
        <w:rPr>
          <w:rFonts w:ascii="SchoolBookCTT" w:hAnsi="SchoolBookCTT" w:cs="SchoolBookCTT"/>
          <w:color w:val="000000"/>
          <w:spacing w:val="-2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pacing w:val="-2"/>
          <w:sz w:val="20"/>
        </w:rPr>
        <w:t xml:space="preserve">актуальным. </w:t>
      </w:r>
    </w:p>
    <w:p w:rsidR="00613EED" w:rsidRPr="00AC3144" w:rsidRDefault="00613EED" w:rsidP="00613EED">
      <w:pPr>
        <w:tabs>
          <w:tab w:val="left" w:pos="504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С </w:t>
      </w:r>
      <w:smartTag w:uri="urn:schemas-microsoft-com:office:smarttags" w:element="metricconverter">
        <w:smartTagPr>
          <w:attr w:name="ProductID" w:val="1992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u w:color="000000"/>
          </w:rPr>
          <w:t>1992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. основным направлением научно-исследовательских работ ГП </w:t>
      </w:r>
      <w:r w:rsidRPr="00AC3144">
        <w:rPr>
          <w:rFonts w:ascii="SchoolBookCTT" w:hAnsi="SchoolBookCTT" w:cs="SchoolBookCTT"/>
          <w:caps/>
          <w:color w:val="000000"/>
          <w:sz w:val="20"/>
          <w:szCs w:val="20"/>
          <w:u w:color="000000"/>
        </w:rPr>
        <w:t>ох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«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Новокаховское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» является интродукция и селекция новых для региона декоративных деревьев, кустарников и лиан, отбор стойких для региона видов и декоративных форм, изучение их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биоэкологичских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особенностей на предмет использования в озеленении. При работе в этом направлении в </w:t>
      </w:r>
      <w:r w:rsidRPr="00AC3144">
        <w:rPr>
          <w:rFonts w:ascii="SchoolBookCTT" w:hAnsi="SchoolBookCTT" w:cs="SchoolBookCTT"/>
          <w:caps/>
          <w:color w:val="000000"/>
          <w:sz w:val="20"/>
          <w:szCs w:val="20"/>
          <w:u w:color="000000"/>
        </w:rPr>
        <w:t>ГП ОХ</w:t>
      </w:r>
      <w:r w:rsidRPr="00AC3144">
        <w:rPr>
          <w:rFonts w:ascii="SchoolBookCTT" w:hAnsi="SchoolBookCTT" w:cs="SchoolBookCTT"/>
          <w:b/>
          <w:bCs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«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Новокаховское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»</w:t>
      </w:r>
      <w:r w:rsidRPr="00AC3144">
        <w:rPr>
          <w:rFonts w:ascii="SchoolBookCTT" w:hAnsi="SchoolBookCTT" w:cs="SchoolBookCTT"/>
          <w:b/>
          <w:bCs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была собрана коллекция декоративных деревьев, кустарников и лиан, которая является второй по видовому богатству дендрологической коллекцией региона (более 400 таксонов, 40 из них были завезены в область впервые). Из них вечнозеленые лиственные представлены 87 видами и формами. </w:t>
      </w:r>
    </w:p>
    <w:p w:rsidR="00613EED" w:rsidRPr="00AC3144" w:rsidRDefault="00613EED" w:rsidP="00613EED">
      <w:pPr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Обеспеченность теплом (регион не уступает Крыму), длительное лето создали благоприятные условия для интродукции многих южных видов. Многие из них хорошо вписываются своим вегетационным периодом в безморозный период региона и оказались пригодными для использования в озеленении. Особый интерес, в этом отношении, вызывают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Lonicera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giraldii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proofErr w:type="spellStart"/>
      <w:proofErr w:type="gram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Rehd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.,</w:t>
      </w:r>
      <w:proofErr w:type="gram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несколько видов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Yucca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L.,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Laurocerasus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officinalis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и ее формы ‘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Serbica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’ и ‘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Schipkaensis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’ и 03.02,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Berberis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julianae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,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Cotoneaster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franchetii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Rois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.,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Euonymus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fortunei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Turez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.)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>Hand.-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>Mazz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.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и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его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формы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,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>Hedera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>colchica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 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>C.Koch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.)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>C.Koch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,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 xml:space="preserve">H.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>taurica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>Carriere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,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>Mahonia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lang w:val="en-US"/>
        </w:rPr>
        <w:t>pinnata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lang w:val="en-US"/>
        </w:rPr>
        <w:t xml:space="preserve"> (Lag.) </w:t>
      </w:r>
      <w:proofErr w:type="spellStart"/>
      <w:proofErr w:type="gramStart"/>
      <w:r w:rsidRPr="00AC3144">
        <w:rPr>
          <w:rFonts w:ascii="SchoolBookCTT" w:hAnsi="SchoolBookCTT" w:cs="SchoolBookCTT"/>
          <w:i/>
          <w:iCs/>
          <w:color w:val="000000"/>
          <w:sz w:val="20"/>
          <w:lang w:val="en-US"/>
        </w:rPr>
        <w:t>Fedde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lang w:val="en-US"/>
        </w:rPr>
        <w:t>.,</w:t>
      </w:r>
      <w:proofErr w:type="gramEnd"/>
      <w:r w:rsidRPr="00AC3144">
        <w:rPr>
          <w:rFonts w:ascii="SchoolBookCTT" w:hAnsi="SchoolBookCTT" w:cs="SchoolBookCTT"/>
          <w:i/>
          <w:iCs/>
          <w:color w:val="000000"/>
          <w:sz w:val="20"/>
          <w:lang w:val="en-US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>Pyracantha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>coccinea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 (L.)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>M.Roem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.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и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ее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формы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,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 xml:space="preserve">Viburnum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>rhytidophyllum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>Hemsl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,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 xml:space="preserve">V.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х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р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>ragence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  <w:lang w:val="en-US"/>
        </w:rPr>
        <w:t xml:space="preserve">, Yucca hybrid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и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др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  <w:lang w:val="en-US"/>
        </w:rPr>
        <w:t xml:space="preserve">. </w:t>
      </w:r>
      <w:r w:rsidRPr="00AC3144">
        <w:rPr>
          <w:rFonts w:ascii="SchoolBookCTT" w:hAnsi="SchoolBookCTT" w:cs="SchoolBookCTT"/>
          <w:color w:val="000000"/>
          <w:sz w:val="20"/>
        </w:rPr>
        <w:t>За время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испытания </w:t>
      </w:r>
      <w:r w:rsidRPr="00AC3144">
        <w:rPr>
          <w:rFonts w:ascii="SchoolBookCTT" w:hAnsi="SchoolBookCTT" w:cs="SchoolBookCTT"/>
          <w:color w:val="000000"/>
          <w:sz w:val="20"/>
        </w:rPr>
        <w:t>растения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без каких-либо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повреждений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перенесли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самую холодную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в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регионе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, </w:t>
      </w:r>
      <w:r w:rsidRPr="00AC3144">
        <w:rPr>
          <w:rFonts w:ascii="SchoolBookCTT" w:hAnsi="SchoolBookCTT" w:cs="SchoolBookCTT"/>
          <w:color w:val="000000"/>
          <w:sz w:val="20"/>
        </w:rPr>
        <w:t>за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последние 50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лет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, </w:t>
      </w:r>
      <w:r w:rsidRPr="00AC3144">
        <w:rPr>
          <w:rFonts w:ascii="SchoolBookCTT" w:hAnsi="SchoolBookCTT" w:cs="SchoolBookCTT"/>
          <w:color w:val="000000"/>
          <w:sz w:val="20"/>
        </w:rPr>
        <w:t>зиму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2005-2006гг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., </w:t>
      </w:r>
      <w:r w:rsidRPr="00AC3144">
        <w:rPr>
          <w:rFonts w:ascii="SchoolBookCTT" w:hAnsi="SchoolBookCTT" w:cs="SchoolBookCTT"/>
          <w:color w:val="000000"/>
          <w:sz w:val="20"/>
        </w:rPr>
        <w:t>когда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температура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снижалась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до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-27</w:t>
      </w:r>
      <w:r w:rsidRPr="00AC3144">
        <w:rPr>
          <w:rFonts w:ascii="Symbol" w:hAnsi="Symbol" w:cs="Symbol"/>
          <w:color w:val="000000"/>
          <w:sz w:val="20"/>
        </w:rPr>
        <w:t></w:t>
      </w:r>
      <w:r w:rsidRPr="00AC3144">
        <w:rPr>
          <w:rFonts w:ascii="SchoolBookCTT" w:hAnsi="SchoolBookCTT" w:cs="SchoolBookCTT"/>
          <w:color w:val="000000"/>
          <w:sz w:val="20"/>
        </w:rPr>
        <w:t>С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. </w:t>
      </w:r>
    </w:p>
    <w:p w:rsidR="00613EED" w:rsidRPr="00AC3144" w:rsidRDefault="00613EED" w:rsidP="00613EED">
      <w:pPr>
        <w:tabs>
          <w:tab w:val="left" w:pos="504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Необходимо отметить и эффективность селекционной работы методом отбора на зимостойкость. Наглядным примером тому является создание форм с повышенной зимостойкостью у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Laurocerasus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officinalis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M. </w:t>
      </w:r>
      <w:proofErr w:type="spellStart"/>
      <w:proofErr w:type="gramStart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Roem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.,</w:t>
      </w:r>
      <w:proofErr w:type="gram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Berberis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>julianae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и др. Выделенные зимостойкие и декоративные формы представляют ценный исходный материал для селекции.</w:t>
      </w:r>
    </w:p>
    <w:p w:rsidR="00613EED" w:rsidRPr="00AC3144" w:rsidRDefault="00613EED" w:rsidP="00613EED">
      <w:pPr>
        <w:tabs>
          <w:tab w:val="left" w:pos="504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u w:color="00000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</w:rPr>
        <w:t>Учитывая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высокую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декоративность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представленных </w:t>
      </w:r>
      <w:r w:rsidRPr="00AC3144">
        <w:rPr>
          <w:rFonts w:ascii="SchoolBookCTT" w:hAnsi="SchoolBookCTT" w:cs="SchoolBookCTT"/>
          <w:color w:val="000000"/>
          <w:sz w:val="20"/>
        </w:rPr>
        <w:t>видов,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обусловленную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прежде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всего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их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</w:rPr>
        <w:t>вечнозеленостью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и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устойчивостью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к неблагоприятным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почвенно-климатическим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условиям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, </w:t>
      </w:r>
      <w:r w:rsidRPr="00AC3144">
        <w:rPr>
          <w:rFonts w:ascii="SchoolBookCTT" w:hAnsi="SchoolBookCTT" w:cs="SchoolBookCTT"/>
          <w:color w:val="000000"/>
          <w:sz w:val="20"/>
        </w:rPr>
        <w:t>они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заслуживают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использования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в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озеленении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крупных </w:t>
      </w:r>
      <w:r w:rsidRPr="00AC3144">
        <w:rPr>
          <w:rFonts w:ascii="SchoolBookCTT" w:hAnsi="SchoolBookCTT" w:cs="SchoolBookCTT"/>
          <w:color w:val="000000"/>
          <w:sz w:val="20"/>
        </w:rPr>
        <w:t>населенных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пунктов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южного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региона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</w:rPr>
        <w:t>Украины, где складываются более благоприятные условия увлажнения</w:t>
      </w:r>
      <w:r w:rsidRPr="00AC3144">
        <w:rPr>
          <w:rFonts w:ascii="SchoolBookCTT" w:hAnsi="SchoolBookCTT" w:cs="SchoolBookCTT"/>
          <w:color w:val="000000"/>
          <w:sz w:val="20"/>
          <w:szCs w:val="20"/>
          <w:u w:color="000000"/>
        </w:rPr>
        <w:t>. Это позволит значительно повысить как декоративность, так и эстетический уровень существующих зеленых насаждений и иметь больше зелени в зимний период.</w:t>
      </w:r>
    </w:p>
    <w:p w:rsidR="00A76681" w:rsidRPr="00613EED" w:rsidRDefault="00613EED">
      <w:pPr>
        <w:rPr>
          <w:lang w:val="uk-UA"/>
        </w:rPr>
      </w:pPr>
      <w:bookmarkStart w:id="0" w:name="_GoBack"/>
      <w:bookmarkEnd w:id="0"/>
    </w:p>
    <w:sectPr w:rsidR="00A76681" w:rsidRPr="00613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ED"/>
    <w:rsid w:val="00445505"/>
    <w:rsid w:val="00613EED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432C6-37AE-4C00-B7E1-71626670F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4152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2017-04-10T11:47:00Z</dcterms:created>
  <dcterms:modified xsi:type="dcterms:W3CDTF">2017-04-10T11:47:00Z</dcterms:modified>
</cp:coreProperties>
</file>