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B5" w:rsidRPr="00AC3144" w:rsidRDefault="00B955B5" w:rsidP="00B955B5">
      <w:pPr>
        <w:suppressAutoHyphens/>
        <w:autoSpaceDE w:val="0"/>
        <w:autoSpaceDN w:val="0"/>
        <w:adjustRightInd w:val="0"/>
        <w:spacing w:after="6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 xml:space="preserve">СОРТОВОЙ АССОРТИМЕНТ </w:t>
      </w:r>
      <w:r w:rsidRPr="00AC3144">
        <w:rPr>
          <w:rFonts w:ascii="PragmaticaCTT" w:hAnsi="PragmaticaCTT" w:cs="PragmaticaCTT"/>
          <w:b/>
          <w:bCs/>
          <w:i/>
          <w:iCs/>
          <w:caps/>
          <w:color w:val="000000"/>
          <w:sz w:val="22"/>
          <w:szCs w:val="22"/>
          <w:lang w:val="uk-UA"/>
        </w:rPr>
        <w:t>ZIZIPHUS JUJUBA</w:t>
      </w: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 xml:space="preserve"> MILL.                В ОПЫТНОМ ХОЗЯЙСТВЕ «НОВОКАХОВСКОЕ»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after="60" w:line="22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 xml:space="preserve">VARIETAL ASSORTMENT OF </w:t>
      </w:r>
      <w:r w:rsidRPr="00AC3144">
        <w:rPr>
          <w:rFonts w:ascii="PragmaticaCTT" w:hAnsi="PragmaticaCTT" w:cs="PragmaticaCTT"/>
          <w:i/>
          <w:iCs/>
          <w:color w:val="000000"/>
          <w:sz w:val="20"/>
          <w:szCs w:val="20"/>
          <w:lang w:val="uk-UA"/>
        </w:rPr>
        <w:t xml:space="preserve">ZIZIPHUS JUJUBA MILL.                                       </w:t>
      </w: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IN THE EXPERIMENTAL FARM «NOVOKAKHOVSKOYE»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М.Ю.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Карнатовская</w:t>
      </w:r>
      <w:proofErr w:type="spellEnd"/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M.Yu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Karnatovskaia</w:t>
      </w:r>
      <w:proofErr w:type="spellEnd"/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Институт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риса НААН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Institute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Rice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NAAS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u w:color="000000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e-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mail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: karnatovskaya@gmail.com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</w:pP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Zizіphus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jujubа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is promising fruit crop for Kherson region of Ukraine. The diversity of varieties include early maturing varieties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Dargomsky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Ya-Zao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Radoslav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</w:t>
      </w:r>
      <w:proofErr w:type="spellStart"/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Vakhsh</w:t>
      </w:r>
      <w:proofErr w:type="spellEnd"/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Late maturing varieties are Meteor,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Koktebel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and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Vakhshsky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40/5. The smallest fruits have the variety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Suan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Zao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(about </w:t>
      </w:r>
      <w:smartTag w:uri="urn:schemas-microsoft-com:office:smarttags" w:element="metricconverter">
        <w:smartTagPr>
          <w:attr w:name="ProductID" w:val="4 g"/>
        </w:smartTagPr>
        <w:r w:rsidRPr="00AC3144">
          <w:rPr>
            <w:rFonts w:ascii="PragmaticaCTT" w:hAnsi="PragmaticaCTT" w:cs="PragmaticaCTT"/>
            <w:i/>
            <w:iCs/>
            <w:color w:val="000000"/>
            <w:sz w:val="16"/>
            <w:szCs w:val="16"/>
            <w:lang w:val="en-GB"/>
          </w:rPr>
          <w:t>4 g</w:t>
        </w:r>
      </w:smartTag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), the largest ones -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Koktebel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(up to </w:t>
      </w:r>
      <w:smartTag w:uri="urn:schemas-microsoft-com:office:smarttags" w:element="metricconverter">
        <w:smartTagPr>
          <w:attr w:name="ProductID" w:val="50 g"/>
        </w:smartTagPr>
        <w:r w:rsidRPr="00AC3144">
          <w:rPr>
            <w:rFonts w:ascii="PragmaticaCTT" w:hAnsi="PragmaticaCTT" w:cs="PragmaticaCTT"/>
            <w:i/>
            <w:iCs/>
            <w:color w:val="000000"/>
            <w:sz w:val="16"/>
            <w:szCs w:val="16"/>
            <w:lang w:val="en-GB"/>
          </w:rPr>
          <w:t>50 g</w:t>
        </w:r>
      </w:smartTag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and above). All studied varieties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are characterized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by regular and abundant yield, resistance to pests and diseases. Lowering the winter temperature to -21,3єC, resulting in partial damage of annual shoots in some varieties. However, the damaged plants recover quickly and give a full harvest.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В середине 90-х гг. с целью расширения ареала возделывания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pacing w:val="-2"/>
          <w:sz w:val="20"/>
          <w:szCs w:val="20"/>
          <w:u w:color="000000"/>
        </w:rPr>
        <w:t>Zizіphus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pacing w:val="-2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pacing w:val="-2"/>
          <w:sz w:val="20"/>
          <w:szCs w:val="20"/>
          <w:u w:color="000000"/>
        </w:rPr>
        <w:t>jujubа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pacing w:val="-2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Mill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. – перспективной плодовой культуры – на территории опытного хозяйства «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Новокаховское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» (Херсонская область) было высажено 15 сортов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зизифуса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, которые</w:t>
      </w:r>
      <w:r w:rsidRPr="00AC3144">
        <w:rPr>
          <w:rFonts w:ascii="SchoolBookCTT" w:hAnsi="SchoolBookCTT" w:cs="SchoolBookCTT"/>
          <w:i/>
          <w:iCs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были получены из Никитского ботанического сада (г. Ялта) в виде саженцев. Изучение биологических особенностей этой культуры в новых для нее климатических условиях ведется с </w:t>
      </w:r>
      <w:smartTag w:uri="urn:schemas-microsoft-com:office:smarttags" w:element="metricconverter">
        <w:smartTagPr>
          <w:attr w:name="ProductID" w:val="2007 г"/>
        </w:smartTagPr>
        <w:r w:rsidRPr="00AC3144">
          <w:rPr>
            <w:rFonts w:ascii="SchoolBookCTT" w:hAnsi="SchoolBookCTT" w:cs="SchoolBookCTT"/>
            <w:color w:val="000000"/>
            <w:spacing w:val="-2"/>
            <w:sz w:val="20"/>
            <w:szCs w:val="20"/>
            <w:u w:color="000000"/>
          </w:rPr>
          <w:t>2007 г</w:t>
        </w:r>
      </w:smartTag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. согласно методическим указаниям по первичному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сортоизучению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зизифуса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, разработанным в отделе субтропических культур Никитского ботанического сада [3].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Ассортимент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зизифуса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в ОХ «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Новокаховское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» представлен разными по происхождению сортов группами. Сорта китайского происхождения – Я-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цзао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, Та-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ян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-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цзао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Суан-цзао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, Китайский 93, Китайский 2А. Сорта Таджикского происхождения – Советский, Южанин, Вахш,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Вахшский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30/16,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Вахшский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40/5. Сорта селекции Никитского ботанического сада –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Радослав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, </w:t>
      </w:r>
      <w:proofErr w:type="gram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Синит</w:t>
      </w:r>
      <w:proofErr w:type="gram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, Метеор, Коктебель. И один сорт узбекского происхождения –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Даргомский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.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Каждая группа представлена сортами разных сроков созревания плодов (ранних, средних и поздних). В условиях Херсонской области раньше всех начинают созревать плоды у сортов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Даргомский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, Я-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цзао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Радослав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, Вахш. Поздно созревающими являются сорта Метеор, Коктебель 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Вахшский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40/5.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Выращиваемые сорта различаются и по размерам плодов. Самый мелкоплодный –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Суан-цзао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(средний вес около </w:t>
      </w:r>
      <w:smartTag w:uri="urn:schemas-microsoft-com:office:smarttags" w:element="metricconverter">
        <w:smartTagPr>
          <w:attr w:name="ProductID" w:val="4 г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4 г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), самый крупноплодный – Коктебель (до </w:t>
      </w:r>
      <w:smartTag w:uri="urn:schemas-microsoft-com:office:smarttags" w:element="metricconverter">
        <w:smartTagPr>
          <w:attr w:name="ProductID" w:val="50 г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50 г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и выше).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За годы изучения (2007-2015 гг.) было установлено, что растения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зизифуса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в условиях Херсонской области на протяжении вегетационного периода проходят все фазы сезонного развития, завязывают плоды, которые достигают полной зрелости [2]. Но надо отметить, что если осенью рано наступает похолодание, и не хватает тепла и солнечного света, то на деревьях сортов Коктебель 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Вахшский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40/5 плоды не успевают полностью созреть, что приводит к частичной потере урожая.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Все изученные сорта характеризуются регулярной и обильной урожайностью.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За весь период наблюдений за насаждением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зизифуса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в условиях Херсонской области не отмечено его повреждений вредителями и болезнями.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Изучение зимостойкости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зизифуса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показало, что снижение температуры воздуха в условиях Херсонской области до -21,3єС, приводит к частичному повреждению однолетних побегов у отдельных сортов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зизифуса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. Однако поврежденные растения быстро восстанавливаются и дают полноценный урожай. Наиболее чувствительными к низким температурам воздуха оказались сорта селекции Никитского ботанического сада [1].</w:t>
      </w:r>
    </w:p>
    <w:p w:rsidR="00B955B5" w:rsidRPr="00AC3144" w:rsidRDefault="00B955B5" w:rsidP="00B955B5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В результате проведенных исследований можно сделать вывод о том, что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Zizіphus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jujubа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является перспективной культурой и требует дальнейшего детального изучения, а условия Херсонской области благоприятны для его выращивания.</w:t>
      </w:r>
    </w:p>
    <w:p w:rsidR="00A76681" w:rsidRPr="00B955B5" w:rsidRDefault="00B955B5">
      <w:pPr>
        <w:rPr>
          <w:lang w:val="uk-UA"/>
        </w:rPr>
      </w:pPr>
      <w:bookmarkStart w:id="0" w:name="_GoBack"/>
      <w:bookmarkEnd w:id="0"/>
    </w:p>
    <w:sectPr w:rsidR="00A76681" w:rsidRPr="00B9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B5"/>
    <w:rsid w:val="00445505"/>
    <w:rsid w:val="00B955B5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7F427-4740-472E-9B5A-2FF51607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2017-04-10T11:48:00Z</dcterms:created>
  <dcterms:modified xsi:type="dcterms:W3CDTF">2017-04-10T11:48:00Z</dcterms:modified>
</cp:coreProperties>
</file>