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03C" w:rsidRPr="00AC3144" w:rsidRDefault="0070003C" w:rsidP="0070003C">
      <w:pPr>
        <w:suppressAutoHyphens/>
        <w:autoSpaceDE w:val="0"/>
        <w:autoSpaceDN w:val="0"/>
        <w:adjustRightInd w:val="0"/>
        <w:spacing w:after="60" w:line="240" w:lineRule="atLeast"/>
        <w:jc w:val="center"/>
        <w:textAlignment w:val="center"/>
        <w:rPr>
          <w:rFonts w:ascii="PragmaticaCTT" w:hAnsi="PragmaticaCTT" w:cs="PragmaticaCTT"/>
          <w:b/>
          <w:bCs/>
          <w:caps/>
          <w:color w:val="000000"/>
          <w:sz w:val="22"/>
          <w:szCs w:val="22"/>
          <w:lang w:val="uk-UA"/>
        </w:rPr>
      </w:pPr>
      <w:r w:rsidRPr="00AC3144">
        <w:rPr>
          <w:rFonts w:ascii="PragmaticaCTT" w:hAnsi="PragmaticaCTT" w:cs="PragmaticaCTT"/>
          <w:b/>
          <w:bCs/>
          <w:caps/>
          <w:color w:val="000000"/>
          <w:sz w:val="22"/>
          <w:szCs w:val="22"/>
          <w:lang w:val="uk-UA"/>
        </w:rPr>
        <w:t>СИСТЕМА ГЕНЕТИЧНИХ РЕСУРСІВ РОСЛИН УКРАЇНИ: ЗАВДАННЯ, ПРОБЛЕМИ ТА ПЕРСПЕКТИВИ</w:t>
      </w:r>
    </w:p>
    <w:p w:rsidR="0070003C" w:rsidRPr="00AC3144" w:rsidRDefault="0070003C" w:rsidP="0070003C">
      <w:pPr>
        <w:suppressAutoHyphens/>
        <w:autoSpaceDE w:val="0"/>
        <w:autoSpaceDN w:val="0"/>
        <w:adjustRightInd w:val="0"/>
        <w:spacing w:after="60" w:line="220" w:lineRule="atLeast"/>
        <w:jc w:val="center"/>
        <w:textAlignment w:val="center"/>
        <w:rPr>
          <w:rFonts w:ascii="PragmaticaCTT" w:hAnsi="PragmaticaCTT" w:cs="PragmaticaCTT"/>
          <w:color w:val="000000"/>
          <w:sz w:val="20"/>
          <w:szCs w:val="20"/>
          <w:u w:color="000000"/>
          <w:lang w:val="uk-UA"/>
        </w:rPr>
      </w:pPr>
      <w:r w:rsidRPr="00AC3144">
        <w:rPr>
          <w:rFonts w:ascii="PragmaticaCTT" w:hAnsi="PragmaticaCTT" w:cs="PragmaticaCTT"/>
          <w:color w:val="000000"/>
          <w:sz w:val="20"/>
          <w:szCs w:val="20"/>
          <w:lang w:val="uk-UA"/>
        </w:rPr>
        <w:t>SYSTEM OF PLANT GENETIC RESOURCES OF UKRAINE: CHALLENGES, PROBLEMS AND PROSPECTS</w:t>
      </w:r>
    </w:p>
    <w:p w:rsidR="0070003C" w:rsidRPr="00AC3144" w:rsidRDefault="0070003C" w:rsidP="0070003C">
      <w:pPr>
        <w:suppressAutoHyphens/>
        <w:autoSpaceDE w:val="0"/>
        <w:autoSpaceDN w:val="0"/>
        <w:adjustRightInd w:val="0"/>
        <w:spacing w:after="40" w:line="200" w:lineRule="atLeast"/>
        <w:jc w:val="center"/>
        <w:textAlignment w:val="center"/>
        <w:rPr>
          <w:rFonts w:ascii="PragmaticaCTT" w:hAnsi="PragmaticaCTT" w:cs="PragmaticaCTT"/>
          <w:b/>
          <w:bCs/>
          <w:color w:val="000000"/>
          <w:sz w:val="18"/>
          <w:szCs w:val="18"/>
          <w:lang w:val="uk-UA"/>
        </w:rPr>
      </w:pPr>
      <w:r w:rsidRPr="00AC3144">
        <w:rPr>
          <w:rFonts w:ascii="PragmaticaCTT" w:hAnsi="PragmaticaCTT" w:cs="PragmaticaCTT"/>
          <w:b/>
          <w:bCs/>
          <w:color w:val="000000"/>
          <w:sz w:val="18"/>
          <w:szCs w:val="18"/>
          <w:lang w:val="uk-UA"/>
        </w:rPr>
        <w:t>В.К. Рябчун</w:t>
      </w:r>
      <w:r w:rsidRPr="00AC3144">
        <w:rPr>
          <w:rFonts w:ascii="PragmaticaCTT" w:hAnsi="PragmaticaCTT" w:cs="PragmaticaCTT"/>
          <w:b/>
          <w:bCs/>
          <w:color w:val="000000"/>
          <w:sz w:val="18"/>
          <w:szCs w:val="18"/>
          <w:vertAlign w:val="superscript"/>
          <w:lang w:val="uk-UA"/>
        </w:rPr>
        <w:t>1</w:t>
      </w:r>
      <w:r w:rsidRPr="00AC3144">
        <w:rPr>
          <w:rFonts w:ascii="PragmaticaCTT" w:hAnsi="PragmaticaCTT" w:cs="PragmaticaCTT"/>
          <w:b/>
          <w:bCs/>
          <w:color w:val="000000"/>
          <w:sz w:val="18"/>
          <w:szCs w:val="18"/>
          <w:lang w:val="uk-UA"/>
        </w:rPr>
        <w:t>, В.М. Сучкова</w:t>
      </w:r>
      <w:r w:rsidRPr="00AC3144">
        <w:rPr>
          <w:rFonts w:ascii="PragmaticaCTT" w:hAnsi="PragmaticaCTT" w:cs="PragmaticaCTT"/>
          <w:b/>
          <w:bCs/>
          <w:color w:val="000000"/>
          <w:sz w:val="18"/>
          <w:szCs w:val="18"/>
          <w:vertAlign w:val="superscript"/>
          <w:lang w:val="uk-UA"/>
        </w:rPr>
        <w:t>2</w:t>
      </w:r>
      <w:r w:rsidRPr="00AC3144">
        <w:rPr>
          <w:rFonts w:ascii="PragmaticaCTT" w:hAnsi="PragmaticaCTT" w:cs="PragmaticaCTT"/>
          <w:b/>
          <w:bCs/>
          <w:color w:val="000000"/>
          <w:sz w:val="18"/>
          <w:szCs w:val="18"/>
          <w:lang w:val="uk-UA"/>
        </w:rPr>
        <w:t>, О.В. Моргун</w:t>
      </w:r>
      <w:r w:rsidRPr="00AC3144">
        <w:rPr>
          <w:rFonts w:ascii="PragmaticaCTT" w:hAnsi="PragmaticaCTT" w:cs="PragmaticaCTT"/>
          <w:b/>
          <w:bCs/>
          <w:color w:val="000000"/>
          <w:sz w:val="18"/>
          <w:szCs w:val="18"/>
          <w:vertAlign w:val="superscript"/>
          <w:lang w:val="uk-UA"/>
        </w:rPr>
        <w:t>2</w:t>
      </w:r>
      <w:r w:rsidRPr="00AC3144">
        <w:rPr>
          <w:rFonts w:ascii="PragmaticaCTT" w:hAnsi="PragmaticaCTT" w:cs="PragmaticaCTT"/>
          <w:b/>
          <w:bCs/>
          <w:color w:val="000000"/>
          <w:sz w:val="18"/>
          <w:szCs w:val="18"/>
          <w:lang w:val="uk-UA"/>
        </w:rPr>
        <w:t>, Н.В. Кузьмишина</w:t>
      </w:r>
      <w:r w:rsidRPr="00AC3144">
        <w:rPr>
          <w:rFonts w:ascii="PragmaticaCTT" w:hAnsi="PragmaticaCTT" w:cs="PragmaticaCTT"/>
          <w:b/>
          <w:bCs/>
          <w:color w:val="000000"/>
          <w:sz w:val="18"/>
          <w:szCs w:val="18"/>
          <w:vertAlign w:val="superscript"/>
          <w:lang w:val="uk-UA"/>
        </w:rPr>
        <w:t>1</w:t>
      </w:r>
      <w:r w:rsidRPr="00AC3144">
        <w:rPr>
          <w:rFonts w:ascii="PragmaticaCTT" w:hAnsi="PragmaticaCTT" w:cs="PragmaticaCTT"/>
          <w:b/>
          <w:bCs/>
          <w:color w:val="000000"/>
          <w:sz w:val="18"/>
          <w:szCs w:val="18"/>
          <w:lang w:val="uk-UA"/>
        </w:rPr>
        <w:t>,               Р.Л. Богуславський</w:t>
      </w:r>
      <w:r w:rsidRPr="00AC3144">
        <w:rPr>
          <w:rFonts w:ascii="PragmaticaCTT" w:hAnsi="PragmaticaCTT" w:cs="PragmaticaCTT"/>
          <w:b/>
          <w:bCs/>
          <w:color w:val="000000"/>
          <w:sz w:val="18"/>
          <w:szCs w:val="18"/>
          <w:vertAlign w:val="superscript"/>
          <w:lang w:val="uk-UA"/>
        </w:rPr>
        <w:t>1</w:t>
      </w:r>
    </w:p>
    <w:p w:rsidR="0070003C" w:rsidRPr="00AC3144" w:rsidRDefault="0070003C" w:rsidP="0070003C">
      <w:pPr>
        <w:suppressAutoHyphens/>
        <w:autoSpaceDE w:val="0"/>
        <w:autoSpaceDN w:val="0"/>
        <w:adjustRightInd w:val="0"/>
        <w:spacing w:after="40" w:line="180" w:lineRule="atLeast"/>
        <w:jc w:val="center"/>
        <w:textAlignment w:val="center"/>
        <w:rPr>
          <w:rFonts w:ascii="PragmaticaCTT" w:hAnsi="PragmaticaCTT" w:cs="PragmaticaCTT"/>
          <w:color w:val="000000"/>
          <w:sz w:val="16"/>
          <w:szCs w:val="16"/>
          <w:lang w:val="uk-UA"/>
        </w:rPr>
      </w:pPr>
      <w:r w:rsidRPr="00AC3144">
        <w:rPr>
          <w:rFonts w:ascii="PragmaticaCTT" w:hAnsi="PragmaticaCTT" w:cs="PragmaticaCTT"/>
          <w:color w:val="000000"/>
          <w:sz w:val="16"/>
          <w:szCs w:val="16"/>
          <w:u w:color="000000"/>
          <w:lang w:val="uk-UA"/>
        </w:rPr>
        <w:t>V.K. Ryabchun</w:t>
      </w:r>
      <w:r w:rsidRPr="00AC3144">
        <w:rPr>
          <w:rFonts w:ascii="PragmaticaCTT" w:hAnsi="PragmaticaCTT" w:cs="PragmaticaCTT"/>
          <w:color w:val="000000"/>
          <w:sz w:val="16"/>
          <w:szCs w:val="16"/>
          <w:u w:color="000000"/>
          <w:vertAlign w:val="superscript"/>
          <w:lang w:val="uk-UA"/>
        </w:rPr>
        <w:t>1</w:t>
      </w:r>
      <w:r w:rsidRPr="00AC3144">
        <w:rPr>
          <w:rFonts w:ascii="PragmaticaCTT" w:hAnsi="PragmaticaCTT" w:cs="PragmaticaCTT"/>
          <w:color w:val="000000"/>
          <w:sz w:val="16"/>
          <w:szCs w:val="16"/>
          <w:lang w:val="uk-UA"/>
        </w:rPr>
        <w:t>, V.M. Suchkova</w:t>
      </w:r>
      <w:r w:rsidRPr="00AC3144">
        <w:rPr>
          <w:rFonts w:ascii="PragmaticaCTT" w:hAnsi="PragmaticaCTT" w:cs="PragmaticaCTT"/>
          <w:color w:val="000000"/>
          <w:sz w:val="16"/>
          <w:szCs w:val="16"/>
          <w:vertAlign w:val="superscript"/>
          <w:lang w:val="uk-UA"/>
        </w:rPr>
        <w:t>2</w:t>
      </w:r>
      <w:r w:rsidRPr="00AC3144">
        <w:rPr>
          <w:rFonts w:ascii="PragmaticaCTT" w:hAnsi="PragmaticaCTT" w:cs="PragmaticaCTT"/>
          <w:color w:val="000000"/>
          <w:sz w:val="16"/>
          <w:szCs w:val="16"/>
          <w:lang w:val="uk-UA"/>
        </w:rPr>
        <w:t>, O.V. Morhun</w:t>
      </w:r>
      <w:r w:rsidRPr="00AC3144">
        <w:rPr>
          <w:rFonts w:ascii="PragmaticaCTT" w:hAnsi="PragmaticaCTT" w:cs="PragmaticaCTT"/>
          <w:color w:val="000000"/>
          <w:sz w:val="16"/>
          <w:szCs w:val="16"/>
          <w:vertAlign w:val="superscript"/>
          <w:lang w:val="uk-UA"/>
        </w:rPr>
        <w:t>2</w:t>
      </w:r>
      <w:r w:rsidRPr="00AC3144">
        <w:rPr>
          <w:rFonts w:ascii="PragmaticaCTT" w:hAnsi="PragmaticaCTT" w:cs="PragmaticaCTT"/>
          <w:color w:val="000000"/>
          <w:sz w:val="16"/>
          <w:szCs w:val="16"/>
          <w:lang w:val="uk-UA"/>
        </w:rPr>
        <w:t>, N.V. Kuzmyshyna</w:t>
      </w:r>
      <w:r w:rsidRPr="00AC3144">
        <w:rPr>
          <w:rFonts w:ascii="PragmaticaCTT" w:hAnsi="PragmaticaCTT" w:cs="PragmaticaCTT"/>
          <w:color w:val="000000"/>
          <w:sz w:val="16"/>
          <w:szCs w:val="16"/>
          <w:u w:color="000000"/>
          <w:vertAlign w:val="superscript"/>
          <w:lang w:val="uk-UA"/>
        </w:rPr>
        <w:t>1</w:t>
      </w:r>
      <w:r w:rsidRPr="00AC3144">
        <w:rPr>
          <w:rFonts w:ascii="PragmaticaCTT" w:hAnsi="PragmaticaCTT" w:cs="PragmaticaCTT"/>
          <w:color w:val="000000"/>
          <w:sz w:val="16"/>
          <w:szCs w:val="16"/>
          <w:lang w:val="uk-UA"/>
        </w:rPr>
        <w:t>, R.L. Boguslavskyi</w:t>
      </w:r>
      <w:r w:rsidRPr="00AC3144">
        <w:rPr>
          <w:rFonts w:ascii="PragmaticaCTT" w:hAnsi="PragmaticaCTT" w:cs="PragmaticaCTT"/>
          <w:color w:val="000000"/>
          <w:sz w:val="16"/>
          <w:szCs w:val="16"/>
          <w:u w:color="000000"/>
          <w:vertAlign w:val="superscript"/>
          <w:lang w:val="uk-UA"/>
        </w:rPr>
        <w:t>1</w:t>
      </w:r>
      <w:r w:rsidRPr="00AC3144">
        <w:rPr>
          <w:rFonts w:ascii="PragmaticaCTT" w:hAnsi="PragmaticaCTT" w:cs="PragmaticaCTT"/>
          <w:color w:val="000000"/>
          <w:sz w:val="16"/>
          <w:szCs w:val="16"/>
          <w:lang w:val="uk-UA"/>
        </w:rPr>
        <w:t>,</w:t>
      </w:r>
    </w:p>
    <w:p w:rsidR="0070003C" w:rsidRPr="00AC3144" w:rsidRDefault="0070003C" w:rsidP="0070003C">
      <w:pPr>
        <w:suppressAutoHyphens/>
        <w:autoSpaceDE w:val="0"/>
        <w:autoSpaceDN w:val="0"/>
        <w:adjustRightInd w:val="0"/>
        <w:spacing w:after="40" w:line="200" w:lineRule="atLeast"/>
        <w:jc w:val="center"/>
        <w:textAlignment w:val="center"/>
        <w:rPr>
          <w:rFonts w:ascii="PragmaticaCTT" w:hAnsi="PragmaticaCTT" w:cs="PragmaticaCTT"/>
          <w:b/>
          <w:bCs/>
          <w:color w:val="000000"/>
          <w:sz w:val="18"/>
          <w:szCs w:val="18"/>
          <w:lang w:val="uk-UA"/>
        </w:rPr>
      </w:pPr>
      <w:r w:rsidRPr="00AC3144">
        <w:rPr>
          <w:rFonts w:ascii="PragmaticaCTT" w:hAnsi="PragmaticaCTT" w:cs="PragmaticaCTT"/>
          <w:b/>
          <w:bCs/>
          <w:color w:val="000000"/>
          <w:sz w:val="18"/>
          <w:szCs w:val="18"/>
          <w:vertAlign w:val="superscript"/>
          <w:lang w:val="uk-UA"/>
        </w:rPr>
        <w:t>1</w:t>
      </w:r>
      <w:r w:rsidRPr="00AC3144">
        <w:rPr>
          <w:rFonts w:ascii="PragmaticaCTT" w:hAnsi="PragmaticaCTT" w:cs="PragmaticaCTT"/>
          <w:b/>
          <w:bCs/>
          <w:color w:val="000000"/>
          <w:sz w:val="18"/>
          <w:szCs w:val="18"/>
          <w:lang w:val="uk-UA"/>
        </w:rPr>
        <w:t xml:space="preserve">Інститут рослинництва ім. В. Я. Юр’єва НААН </w:t>
      </w:r>
    </w:p>
    <w:p w:rsidR="0070003C" w:rsidRPr="00AC3144" w:rsidRDefault="0070003C" w:rsidP="0070003C">
      <w:pPr>
        <w:suppressAutoHyphens/>
        <w:autoSpaceDE w:val="0"/>
        <w:autoSpaceDN w:val="0"/>
        <w:adjustRightInd w:val="0"/>
        <w:spacing w:after="40" w:line="180" w:lineRule="atLeast"/>
        <w:jc w:val="center"/>
        <w:textAlignment w:val="center"/>
        <w:rPr>
          <w:rFonts w:ascii="PragmaticaCTT" w:hAnsi="PragmaticaCTT" w:cs="PragmaticaCTT"/>
          <w:color w:val="000000"/>
          <w:sz w:val="16"/>
          <w:szCs w:val="16"/>
          <w:lang w:val="uk-UA"/>
        </w:rPr>
      </w:pPr>
      <w:r w:rsidRPr="00AC3144">
        <w:rPr>
          <w:rFonts w:ascii="PragmaticaCTT" w:hAnsi="PragmaticaCTT" w:cs="PragmaticaCTT"/>
          <w:color w:val="000000"/>
          <w:sz w:val="16"/>
          <w:szCs w:val="16"/>
          <w:vertAlign w:val="superscript"/>
          <w:lang w:val="uk-UA"/>
        </w:rPr>
        <w:t>1</w:t>
      </w:r>
      <w:r w:rsidRPr="00AC3144">
        <w:rPr>
          <w:rFonts w:ascii="PragmaticaCTT" w:hAnsi="PragmaticaCTT" w:cs="PragmaticaCTT"/>
          <w:color w:val="000000"/>
          <w:sz w:val="16"/>
          <w:szCs w:val="16"/>
          <w:lang w:val="uk-UA"/>
        </w:rPr>
        <w:t xml:space="preserve">Plant </w:t>
      </w:r>
      <w:proofErr w:type="spellStart"/>
      <w:r w:rsidRPr="00AC3144">
        <w:rPr>
          <w:rFonts w:ascii="PragmaticaCTT" w:hAnsi="PragmaticaCTT" w:cs="PragmaticaCTT"/>
          <w:color w:val="000000"/>
          <w:sz w:val="16"/>
          <w:szCs w:val="16"/>
          <w:lang w:val="uk-UA"/>
        </w:rPr>
        <w:t>Production</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Institute</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nd</w:t>
      </w:r>
      <w:proofErr w:type="spellEnd"/>
      <w:r w:rsidRPr="00AC3144">
        <w:rPr>
          <w:rFonts w:ascii="PragmaticaCTT" w:hAnsi="PragmaticaCTT" w:cs="PragmaticaCTT"/>
          <w:color w:val="000000"/>
          <w:sz w:val="16"/>
          <w:szCs w:val="16"/>
          <w:lang w:val="uk-UA"/>
        </w:rPr>
        <w:t xml:space="preserve">. a. V. </w:t>
      </w:r>
      <w:proofErr w:type="spellStart"/>
      <w:r w:rsidRPr="00AC3144">
        <w:rPr>
          <w:rFonts w:ascii="PragmaticaCTT" w:hAnsi="PragmaticaCTT" w:cs="PragmaticaCTT"/>
          <w:color w:val="000000"/>
          <w:sz w:val="16"/>
          <w:szCs w:val="16"/>
          <w:lang w:val="uk-UA"/>
        </w:rPr>
        <w:t>Ya</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Yuryev</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of</w:t>
      </w:r>
      <w:proofErr w:type="spellEnd"/>
      <w:r w:rsidRPr="00AC3144">
        <w:rPr>
          <w:rFonts w:ascii="PragmaticaCTT" w:hAnsi="PragmaticaCTT" w:cs="PragmaticaCTT"/>
          <w:color w:val="000000"/>
          <w:sz w:val="16"/>
          <w:szCs w:val="16"/>
          <w:lang w:val="uk-UA"/>
        </w:rPr>
        <w:t xml:space="preserve"> NAAS </w:t>
      </w:r>
    </w:p>
    <w:p w:rsidR="0070003C" w:rsidRPr="00AC3144" w:rsidRDefault="0070003C" w:rsidP="0070003C">
      <w:pPr>
        <w:suppressAutoHyphens/>
        <w:autoSpaceDE w:val="0"/>
        <w:autoSpaceDN w:val="0"/>
        <w:adjustRightInd w:val="0"/>
        <w:spacing w:after="40" w:line="200" w:lineRule="atLeast"/>
        <w:jc w:val="center"/>
        <w:textAlignment w:val="center"/>
        <w:rPr>
          <w:rFonts w:ascii="PragmaticaCTT" w:hAnsi="PragmaticaCTT" w:cs="PragmaticaCTT"/>
          <w:b/>
          <w:bCs/>
          <w:color w:val="000000"/>
          <w:sz w:val="18"/>
          <w:szCs w:val="18"/>
          <w:lang w:val="uk-UA"/>
        </w:rPr>
      </w:pPr>
      <w:r w:rsidRPr="00AC3144">
        <w:rPr>
          <w:rFonts w:ascii="PragmaticaCTT" w:hAnsi="PragmaticaCTT" w:cs="PragmaticaCTT"/>
          <w:b/>
          <w:bCs/>
          <w:color w:val="000000"/>
          <w:sz w:val="18"/>
          <w:szCs w:val="18"/>
          <w:lang w:val="uk-UA"/>
        </w:rPr>
        <w:t xml:space="preserve"> </w:t>
      </w:r>
      <w:r w:rsidRPr="00AC3144">
        <w:rPr>
          <w:rFonts w:ascii="PragmaticaCTT" w:hAnsi="PragmaticaCTT" w:cs="PragmaticaCTT"/>
          <w:b/>
          <w:bCs/>
          <w:color w:val="000000"/>
          <w:sz w:val="18"/>
          <w:szCs w:val="18"/>
          <w:vertAlign w:val="superscript"/>
          <w:lang w:val="uk-UA"/>
        </w:rPr>
        <w:t>2</w:t>
      </w:r>
      <w:r w:rsidRPr="00AC3144">
        <w:rPr>
          <w:rFonts w:ascii="PragmaticaCTT" w:hAnsi="PragmaticaCTT" w:cs="PragmaticaCTT"/>
          <w:b/>
          <w:bCs/>
          <w:color w:val="000000"/>
          <w:sz w:val="18"/>
          <w:szCs w:val="18"/>
          <w:lang w:val="uk-UA"/>
        </w:rPr>
        <w:t>Національна академія аграрних наук</w:t>
      </w:r>
    </w:p>
    <w:p w:rsidR="0070003C" w:rsidRPr="00AC3144" w:rsidRDefault="0070003C" w:rsidP="0070003C">
      <w:pPr>
        <w:suppressAutoHyphens/>
        <w:autoSpaceDE w:val="0"/>
        <w:autoSpaceDN w:val="0"/>
        <w:adjustRightInd w:val="0"/>
        <w:spacing w:after="40" w:line="180" w:lineRule="atLeast"/>
        <w:jc w:val="center"/>
        <w:textAlignment w:val="center"/>
        <w:rPr>
          <w:rFonts w:ascii="PragmaticaCTT" w:hAnsi="PragmaticaCTT" w:cs="PragmaticaCTT"/>
          <w:color w:val="000000"/>
          <w:sz w:val="16"/>
          <w:szCs w:val="16"/>
          <w:lang w:val="uk-UA"/>
        </w:rPr>
      </w:pPr>
      <w:r w:rsidRPr="00AC3144">
        <w:rPr>
          <w:rFonts w:ascii="PragmaticaCTT" w:hAnsi="PragmaticaCTT" w:cs="PragmaticaCTT"/>
          <w:color w:val="000000"/>
          <w:sz w:val="16"/>
          <w:szCs w:val="16"/>
          <w:vertAlign w:val="superscript"/>
          <w:lang w:val="uk-UA"/>
        </w:rPr>
        <w:t>2</w:t>
      </w:r>
      <w:r w:rsidRPr="00AC3144">
        <w:rPr>
          <w:rFonts w:ascii="PragmaticaCTT" w:hAnsi="PragmaticaCTT" w:cs="PragmaticaCTT"/>
          <w:color w:val="000000"/>
          <w:sz w:val="16"/>
          <w:szCs w:val="16"/>
          <w:lang w:val="uk-UA"/>
        </w:rPr>
        <w:t xml:space="preserve">National </w:t>
      </w:r>
      <w:proofErr w:type="spellStart"/>
      <w:r w:rsidRPr="00AC3144">
        <w:rPr>
          <w:rFonts w:ascii="PragmaticaCTT" w:hAnsi="PragmaticaCTT" w:cs="PragmaticaCTT"/>
          <w:color w:val="000000"/>
          <w:sz w:val="16"/>
          <w:szCs w:val="16"/>
          <w:lang w:val="uk-UA"/>
        </w:rPr>
        <w:t>Academy</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of</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Agrarian</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Sciences</w:t>
      </w:r>
      <w:proofErr w:type="spellEnd"/>
      <w:r w:rsidRPr="00AC3144">
        <w:rPr>
          <w:rFonts w:ascii="PragmaticaCTT" w:hAnsi="PragmaticaCTT" w:cs="PragmaticaCTT"/>
          <w:color w:val="000000"/>
          <w:sz w:val="16"/>
          <w:szCs w:val="16"/>
          <w:lang w:val="uk-UA"/>
        </w:rPr>
        <w:t xml:space="preserve"> </w:t>
      </w:r>
    </w:p>
    <w:p w:rsidR="0070003C" w:rsidRPr="00AC3144" w:rsidRDefault="0070003C" w:rsidP="0070003C">
      <w:pPr>
        <w:suppressAutoHyphens/>
        <w:autoSpaceDE w:val="0"/>
        <w:autoSpaceDN w:val="0"/>
        <w:adjustRightInd w:val="0"/>
        <w:spacing w:after="40" w:line="180" w:lineRule="atLeast"/>
        <w:jc w:val="center"/>
        <w:textAlignment w:val="center"/>
        <w:rPr>
          <w:rFonts w:ascii="PragmaticaCTT" w:hAnsi="PragmaticaCTT" w:cs="PragmaticaCTT"/>
          <w:color w:val="000000"/>
          <w:sz w:val="16"/>
          <w:szCs w:val="16"/>
          <w:u w:color="000000"/>
          <w:lang w:val="uk-UA"/>
        </w:rPr>
      </w:pPr>
      <w:r w:rsidRPr="00AC3144">
        <w:rPr>
          <w:rFonts w:ascii="PragmaticaCTT" w:hAnsi="PragmaticaCTT" w:cs="PragmaticaCTT"/>
          <w:color w:val="000000"/>
          <w:sz w:val="16"/>
          <w:szCs w:val="16"/>
          <w:lang w:val="uk-UA"/>
        </w:rPr>
        <w:t>e-</w:t>
      </w:r>
      <w:proofErr w:type="spellStart"/>
      <w:r w:rsidRPr="00AC3144">
        <w:rPr>
          <w:rFonts w:ascii="PragmaticaCTT" w:hAnsi="PragmaticaCTT" w:cs="PragmaticaCTT"/>
          <w:color w:val="000000"/>
          <w:sz w:val="16"/>
          <w:szCs w:val="16"/>
          <w:lang w:val="uk-UA"/>
        </w:rPr>
        <w:t>mail</w:t>
      </w:r>
      <w:proofErr w:type="spellEnd"/>
      <w:r w:rsidRPr="00AC3144">
        <w:rPr>
          <w:rFonts w:ascii="PragmaticaCTT" w:hAnsi="PragmaticaCTT" w:cs="PragmaticaCTT"/>
          <w:color w:val="000000"/>
          <w:sz w:val="16"/>
          <w:szCs w:val="16"/>
          <w:lang w:val="uk-UA"/>
        </w:rPr>
        <w:t>: ncpgru@gmail.com</w:t>
      </w:r>
    </w:p>
    <w:p w:rsidR="0070003C" w:rsidRPr="00AC3144" w:rsidRDefault="0070003C" w:rsidP="0070003C">
      <w:pPr>
        <w:suppressAutoHyphens/>
        <w:autoSpaceDE w:val="0"/>
        <w:autoSpaceDN w:val="0"/>
        <w:adjustRightInd w:val="0"/>
        <w:spacing w:before="60" w:line="180" w:lineRule="atLeast"/>
        <w:ind w:firstLine="283"/>
        <w:jc w:val="both"/>
        <w:textAlignment w:val="center"/>
        <w:rPr>
          <w:rFonts w:ascii="PragmaticaCTT" w:hAnsi="PragmaticaCTT" w:cs="PragmaticaCTT"/>
          <w:i/>
          <w:iCs/>
          <w:color w:val="000000"/>
          <w:sz w:val="16"/>
          <w:szCs w:val="16"/>
          <w:u w:color="000000"/>
          <w:lang w:val="en-US"/>
        </w:rPr>
      </w:pPr>
      <w:r w:rsidRPr="00AC3144">
        <w:rPr>
          <w:rFonts w:ascii="PragmaticaCTT" w:hAnsi="PragmaticaCTT" w:cs="PragmaticaCTT"/>
          <w:i/>
          <w:iCs/>
          <w:color w:val="000000"/>
          <w:sz w:val="16"/>
          <w:szCs w:val="16"/>
          <w:u w:color="000000"/>
        </w:rPr>
        <w:t xml:space="preserve">С целью повышения эффективности ведения и использования Национального </w:t>
      </w:r>
      <w:proofErr w:type="spellStart"/>
      <w:r w:rsidRPr="00AC3144">
        <w:rPr>
          <w:rFonts w:ascii="PragmaticaCTT" w:hAnsi="PragmaticaCTT" w:cs="PragmaticaCTT"/>
          <w:i/>
          <w:iCs/>
          <w:color w:val="000000"/>
          <w:sz w:val="16"/>
          <w:szCs w:val="16"/>
          <w:u w:color="000000"/>
        </w:rPr>
        <w:t>генбанка</w:t>
      </w:r>
      <w:proofErr w:type="spellEnd"/>
      <w:r w:rsidRPr="00AC3144">
        <w:rPr>
          <w:rFonts w:ascii="PragmaticaCTT" w:hAnsi="PragmaticaCTT" w:cs="PragmaticaCTT"/>
          <w:i/>
          <w:iCs/>
          <w:color w:val="000000"/>
          <w:sz w:val="16"/>
          <w:szCs w:val="16"/>
          <w:u w:color="000000"/>
        </w:rPr>
        <w:t xml:space="preserve"> растений Украины для сельского хозяйства и других отраслей экономики страны необходимо объединить усилия учреждений различных ведомств: Министерства аграрной политики и продовольствия Украины, Министерства образования и науки Украины, Национальной академии наук Украины, других министерств и ведомств в области генетических ресурсов растений. С этой целью предложено создать Систему генетических ресурсов растений Украины и разработан проект Положения о ней. Оно определяет задачи, которые Система должна решать, ее статус и организационные основы. Подчеркнута</w:t>
      </w:r>
      <w:r w:rsidRPr="00AC3144">
        <w:rPr>
          <w:rFonts w:ascii="PragmaticaCTT" w:hAnsi="PragmaticaCTT" w:cs="PragmaticaCTT"/>
          <w:i/>
          <w:iCs/>
          <w:color w:val="000000"/>
          <w:sz w:val="16"/>
          <w:szCs w:val="16"/>
          <w:u w:color="000000"/>
          <w:lang w:val="en-US"/>
        </w:rPr>
        <w:t xml:space="preserve"> </w:t>
      </w:r>
      <w:r w:rsidRPr="00AC3144">
        <w:rPr>
          <w:rFonts w:ascii="PragmaticaCTT" w:hAnsi="PragmaticaCTT" w:cs="PragmaticaCTT"/>
          <w:i/>
          <w:iCs/>
          <w:color w:val="000000"/>
          <w:sz w:val="16"/>
          <w:szCs w:val="16"/>
          <w:u w:color="000000"/>
        </w:rPr>
        <w:t>крайняя</w:t>
      </w:r>
      <w:r w:rsidRPr="00AC3144">
        <w:rPr>
          <w:rFonts w:ascii="PragmaticaCTT" w:hAnsi="PragmaticaCTT" w:cs="PragmaticaCTT"/>
          <w:i/>
          <w:iCs/>
          <w:color w:val="000000"/>
          <w:sz w:val="16"/>
          <w:szCs w:val="16"/>
          <w:u w:color="000000"/>
          <w:lang w:val="en-US"/>
        </w:rPr>
        <w:t xml:space="preserve"> </w:t>
      </w:r>
      <w:r w:rsidRPr="00AC3144">
        <w:rPr>
          <w:rFonts w:ascii="PragmaticaCTT" w:hAnsi="PragmaticaCTT" w:cs="PragmaticaCTT"/>
          <w:i/>
          <w:iCs/>
          <w:color w:val="000000"/>
          <w:sz w:val="16"/>
          <w:szCs w:val="16"/>
          <w:u w:color="000000"/>
        </w:rPr>
        <w:t>необходимость</w:t>
      </w:r>
      <w:r w:rsidRPr="00AC3144">
        <w:rPr>
          <w:rFonts w:ascii="PragmaticaCTT" w:hAnsi="PragmaticaCTT" w:cs="PragmaticaCTT"/>
          <w:i/>
          <w:iCs/>
          <w:color w:val="000000"/>
          <w:sz w:val="16"/>
          <w:szCs w:val="16"/>
          <w:u w:color="000000"/>
          <w:lang w:val="en-US"/>
        </w:rPr>
        <w:t xml:space="preserve"> </w:t>
      </w:r>
      <w:r w:rsidRPr="00AC3144">
        <w:rPr>
          <w:rFonts w:ascii="PragmaticaCTT" w:hAnsi="PragmaticaCTT" w:cs="PragmaticaCTT"/>
          <w:i/>
          <w:iCs/>
          <w:color w:val="000000"/>
          <w:sz w:val="16"/>
          <w:szCs w:val="16"/>
          <w:u w:color="000000"/>
        </w:rPr>
        <w:t>создания</w:t>
      </w:r>
      <w:r w:rsidRPr="00AC3144">
        <w:rPr>
          <w:rFonts w:ascii="PragmaticaCTT" w:hAnsi="PragmaticaCTT" w:cs="PragmaticaCTT"/>
          <w:i/>
          <w:iCs/>
          <w:color w:val="000000"/>
          <w:sz w:val="16"/>
          <w:szCs w:val="16"/>
          <w:u w:color="000000"/>
          <w:lang w:val="en-US"/>
        </w:rPr>
        <w:t xml:space="preserve"> </w:t>
      </w:r>
      <w:r w:rsidRPr="00AC3144">
        <w:rPr>
          <w:rFonts w:ascii="PragmaticaCTT" w:hAnsi="PragmaticaCTT" w:cs="PragmaticaCTT"/>
          <w:i/>
          <w:iCs/>
          <w:color w:val="000000"/>
          <w:sz w:val="16"/>
          <w:szCs w:val="16"/>
          <w:u w:color="000000"/>
        </w:rPr>
        <w:t>Системы</w:t>
      </w:r>
      <w:r w:rsidRPr="00AC3144">
        <w:rPr>
          <w:rFonts w:ascii="PragmaticaCTT" w:hAnsi="PragmaticaCTT" w:cs="PragmaticaCTT"/>
          <w:i/>
          <w:iCs/>
          <w:color w:val="000000"/>
          <w:sz w:val="16"/>
          <w:szCs w:val="16"/>
          <w:u w:color="000000"/>
          <w:lang w:val="en-US"/>
        </w:rPr>
        <w:t>.</w:t>
      </w:r>
    </w:p>
    <w:p w:rsidR="0070003C" w:rsidRPr="00AC3144" w:rsidRDefault="0070003C" w:rsidP="0070003C">
      <w:pPr>
        <w:suppressAutoHyphens/>
        <w:autoSpaceDE w:val="0"/>
        <w:autoSpaceDN w:val="0"/>
        <w:adjustRightInd w:val="0"/>
        <w:spacing w:before="60" w:after="60" w:line="180" w:lineRule="atLeast"/>
        <w:ind w:firstLine="283"/>
        <w:jc w:val="both"/>
        <w:textAlignment w:val="center"/>
        <w:rPr>
          <w:rFonts w:ascii="PragmaticaCTT" w:hAnsi="PragmaticaCTT" w:cs="PragmaticaCTT"/>
          <w:i/>
          <w:iCs/>
          <w:color w:val="000000"/>
          <w:sz w:val="16"/>
          <w:szCs w:val="16"/>
          <w:lang w:val="en-GB"/>
        </w:rPr>
      </w:pPr>
      <w:proofErr w:type="gramStart"/>
      <w:r w:rsidRPr="00AC3144">
        <w:rPr>
          <w:rFonts w:ascii="PragmaticaCTT" w:hAnsi="PragmaticaCTT" w:cs="PragmaticaCTT"/>
          <w:i/>
          <w:iCs/>
          <w:color w:val="000000"/>
          <w:sz w:val="16"/>
          <w:szCs w:val="16"/>
          <w:lang w:val="en-GB"/>
        </w:rPr>
        <w:t>With a aim to increase the effectiveness of doing and using of National Plant Gene Bank of Ukraine for the agricultural sector and other branches of the country’s economy, it is necessary to joint efforts of different government agencies and institutions: the Ministry of Agricultural Policy and Food of Ukraine, the Ministry of Education and Science, the National Academy of Sciences of Ukraine, other Ministries and agencies in the field of plant genetic resources.</w:t>
      </w:r>
      <w:proofErr w:type="gramEnd"/>
      <w:r w:rsidRPr="00AC3144">
        <w:rPr>
          <w:rFonts w:ascii="PragmaticaCTT" w:hAnsi="PragmaticaCTT" w:cs="PragmaticaCTT"/>
          <w:i/>
          <w:iCs/>
          <w:color w:val="000000"/>
          <w:sz w:val="16"/>
          <w:szCs w:val="16"/>
          <w:lang w:val="en-GB"/>
        </w:rPr>
        <w:t xml:space="preserve"> With this aim, there </w:t>
      </w:r>
      <w:proofErr w:type="gramStart"/>
      <w:r w:rsidRPr="00AC3144">
        <w:rPr>
          <w:rFonts w:ascii="PragmaticaCTT" w:hAnsi="PragmaticaCTT" w:cs="PragmaticaCTT"/>
          <w:i/>
          <w:iCs/>
          <w:color w:val="000000"/>
          <w:sz w:val="16"/>
          <w:szCs w:val="16"/>
          <w:lang w:val="en-GB"/>
        </w:rPr>
        <w:t>is proposed</w:t>
      </w:r>
      <w:proofErr w:type="gramEnd"/>
      <w:r w:rsidRPr="00AC3144">
        <w:rPr>
          <w:rFonts w:ascii="PragmaticaCTT" w:hAnsi="PragmaticaCTT" w:cs="PragmaticaCTT"/>
          <w:i/>
          <w:iCs/>
          <w:color w:val="000000"/>
          <w:sz w:val="16"/>
          <w:szCs w:val="16"/>
          <w:lang w:val="en-GB"/>
        </w:rPr>
        <w:t xml:space="preserve"> to create the System for Plant Genetic Resources of Ukraine and is designed project of it Statute. It defines tasks which the system should solve, it status and organizational foundations. It stressed the need to create the System.</w:t>
      </w:r>
    </w:p>
    <w:p w:rsidR="0070003C" w:rsidRPr="00AC3144" w:rsidRDefault="0070003C" w:rsidP="0070003C">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88" w:lineRule="auto"/>
        <w:ind w:firstLine="283"/>
        <w:jc w:val="both"/>
        <w:textAlignment w:val="center"/>
        <w:rPr>
          <w:rFonts w:ascii="SchoolBookCTT" w:hAnsi="SchoolBookCTT" w:cs="SchoolBookCTT"/>
          <w:color w:val="000000"/>
          <w:sz w:val="20"/>
          <w:szCs w:val="20"/>
          <w:u w:color="000000"/>
          <w:lang w:val="uk-UA"/>
        </w:rPr>
      </w:pPr>
      <w:r w:rsidRPr="00AC3144">
        <w:rPr>
          <w:rFonts w:ascii="SchoolBookCTT" w:hAnsi="SchoolBookCTT" w:cs="SchoolBookCTT"/>
          <w:color w:val="000000"/>
          <w:sz w:val="20"/>
          <w:szCs w:val="20"/>
          <w:u w:color="000000"/>
          <w:lang w:val="uk-UA"/>
        </w:rPr>
        <w:t xml:space="preserve">На даний час завдання мобілізації генетичних ресурсів рослин для підвищення продуктивності, стабільності, якості продукції вітчизняного сільського господарства через удосконалення і прискорення селекції, підвищення рівня наукових досліджень вирішується 34 установами Національної академії аграрних наук України (НААН), які складають Систему генетичних ресурсів рослин (ГРР) України. У 1992 р. створено і підтримується Національний банк генетичних ресурсів рослин України. На даний час у </w:t>
      </w:r>
      <w:proofErr w:type="spellStart"/>
      <w:r w:rsidRPr="00AC3144">
        <w:rPr>
          <w:rFonts w:ascii="SchoolBookCTT" w:hAnsi="SchoolBookCTT" w:cs="SchoolBookCTT"/>
          <w:color w:val="000000"/>
          <w:sz w:val="20"/>
          <w:szCs w:val="20"/>
          <w:u w:color="000000"/>
          <w:lang w:val="uk-UA"/>
        </w:rPr>
        <w:t>генбанку</w:t>
      </w:r>
      <w:proofErr w:type="spellEnd"/>
      <w:r w:rsidRPr="00AC3144">
        <w:rPr>
          <w:rFonts w:ascii="SchoolBookCTT" w:hAnsi="SchoolBookCTT" w:cs="SchoolBookCTT"/>
          <w:color w:val="000000"/>
          <w:sz w:val="20"/>
          <w:szCs w:val="20"/>
          <w:u w:color="000000"/>
          <w:lang w:val="uk-UA"/>
        </w:rPr>
        <w:t xml:space="preserve"> зосереджено генетичне різноманіття обсягом 145,9 тис. зразків 493 культур, 1730 видів культурних рослин і диких споріднених видів. Але найбільш ефективне вирішення цього завдання можливо лише за умови об’єднання зусиль установ різних відомств: Міністерства аграрної політики та продовольства України, Міністерства освіти і науки України, Національної академії наук України, інших міністерств і відомств. З цією метою Національним центром ГРР України (НЦГРРУ) спільно з НААН запропоновано створення загальнонаціональної Системи ГРР України (далі Система) і розроблено проект Положення. Система має вирішувати такі завдання: 1) розробка науково–методологічних основ формування та ведення Національного </w:t>
      </w:r>
      <w:proofErr w:type="spellStart"/>
      <w:r w:rsidRPr="00AC3144">
        <w:rPr>
          <w:rFonts w:ascii="SchoolBookCTT" w:hAnsi="SchoolBookCTT" w:cs="SchoolBookCTT"/>
          <w:color w:val="000000"/>
          <w:sz w:val="20"/>
          <w:szCs w:val="20"/>
          <w:u w:color="000000"/>
          <w:lang w:val="uk-UA"/>
        </w:rPr>
        <w:t>генбанку</w:t>
      </w:r>
      <w:proofErr w:type="spellEnd"/>
      <w:r w:rsidRPr="00AC3144">
        <w:rPr>
          <w:rFonts w:ascii="SchoolBookCTT" w:hAnsi="SchoolBookCTT" w:cs="SchoolBookCTT"/>
          <w:color w:val="000000"/>
          <w:sz w:val="20"/>
          <w:szCs w:val="20"/>
          <w:u w:color="000000"/>
          <w:lang w:val="uk-UA"/>
        </w:rPr>
        <w:t xml:space="preserve"> та його складових; 2) формування та реєстрація колекцій різних типів (базових, </w:t>
      </w:r>
      <w:proofErr w:type="spellStart"/>
      <w:r w:rsidRPr="00AC3144">
        <w:rPr>
          <w:rFonts w:ascii="SchoolBookCTT" w:hAnsi="SchoolBookCTT" w:cs="SchoolBookCTT"/>
          <w:color w:val="000000"/>
          <w:sz w:val="20"/>
          <w:szCs w:val="20"/>
          <w:u w:color="000000"/>
          <w:lang w:val="uk-UA"/>
        </w:rPr>
        <w:t>ознакових</w:t>
      </w:r>
      <w:proofErr w:type="spellEnd"/>
      <w:r w:rsidRPr="00AC3144">
        <w:rPr>
          <w:rFonts w:ascii="SchoolBookCTT" w:hAnsi="SchoolBookCTT" w:cs="SchoolBookCTT"/>
          <w:color w:val="000000"/>
          <w:sz w:val="20"/>
          <w:szCs w:val="20"/>
          <w:u w:color="000000"/>
          <w:lang w:val="uk-UA"/>
        </w:rPr>
        <w:t xml:space="preserve">, генетичних та ін.); реєстрація цінних зразків генофонду рослин; 3) збір зразків ГРР для України на її території та за кордоном; 4) всебічне вивчення зразків генофонду (агробіологічне, генетичне, фізіолого-біохімічне, спеціальне) з виділенням джерел і донорів цінних господарських і біологічних ознак, еталонних зразків; 5) передача зразків генофонду рослин для включення в селекційні, наукові, навчальні та ін. програми в Україні та за кордон; 6) збереження генофонду рослин у стані життєздатності та генетичної автентичності; 7) </w:t>
      </w:r>
      <w:proofErr w:type="spellStart"/>
      <w:r w:rsidRPr="00AC3144">
        <w:rPr>
          <w:rFonts w:ascii="SchoolBookCTT" w:hAnsi="SchoolBookCTT" w:cs="SchoolBookCTT"/>
          <w:color w:val="000000"/>
          <w:sz w:val="20"/>
          <w:szCs w:val="20"/>
          <w:u w:color="000000"/>
          <w:lang w:val="uk-UA"/>
        </w:rPr>
        <w:t>обгрунтування</w:t>
      </w:r>
      <w:proofErr w:type="spellEnd"/>
      <w:r w:rsidRPr="00AC3144">
        <w:rPr>
          <w:rFonts w:ascii="SchoolBookCTT" w:hAnsi="SchoolBookCTT" w:cs="SchoolBookCTT"/>
          <w:color w:val="000000"/>
          <w:sz w:val="20"/>
          <w:szCs w:val="20"/>
          <w:u w:color="000000"/>
          <w:lang w:val="uk-UA"/>
        </w:rPr>
        <w:t xml:space="preserve"> створення та ведення Національного сховища ГРР України та дублетних сховищ в установах; створення та ведення Інформаційної системи з ГРР, надання користувачам інформації про ГРР та обмін нею з </w:t>
      </w:r>
      <w:proofErr w:type="spellStart"/>
      <w:r w:rsidRPr="00AC3144">
        <w:rPr>
          <w:rFonts w:ascii="SchoolBookCTT" w:hAnsi="SchoolBookCTT" w:cs="SchoolBookCTT"/>
          <w:color w:val="000000"/>
          <w:sz w:val="20"/>
          <w:szCs w:val="20"/>
          <w:u w:color="000000"/>
          <w:lang w:val="uk-UA"/>
        </w:rPr>
        <w:t>генбанками</w:t>
      </w:r>
      <w:proofErr w:type="spellEnd"/>
      <w:r w:rsidRPr="00AC3144">
        <w:rPr>
          <w:rFonts w:ascii="SchoolBookCTT" w:hAnsi="SchoolBookCTT" w:cs="SchoolBookCTT"/>
          <w:color w:val="000000"/>
          <w:sz w:val="20"/>
          <w:szCs w:val="20"/>
          <w:u w:color="000000"/>
          <w:lang w:val="uk-UA"/>
        </w:rPr>
        <w:t xml:space="preserve"> та науковими установами України та зарубіжних країн; ведення Національного каталогу генетичних ресурсів рослин України; 8) представництво України у міжнародній мережі генетичних ресурсів рослин</w:t>
      </w:r>
      <w:r w:rsidRPr="00AC3144">
        <w:rPr>
          <w:rFonts w:ascii="SchoolBookCTT" w:hAnsi="SchoolBookCTT" w:cs="SchoolBookCTT"/>
          <w:b/>
          <w:bCs/>
          <w:color w:val="000000"/>
          <w:sz w:val="20"/>
          <w:szCs w:val="20"/>
          <w:u w:color="000000"/>
          <w:lang w:val="uk-UA"/>
        </w:rPr>
        <w:t>:</w:t>
      </w:r>
      <w:r w:rsidRPr="00AC3144">
        <w:rPr>
          <w:rFonts w:ascii="SchoolBookCTT" w:hAnsi="SchoolBookCTT" w:cs="SchoolBookCTT"/>
          <w:color w:val="000000"/>
          <w:sz w:val="20"/>
          <w:szCs w:val="20"/>
          <w:u w:color="000000"/>
          <w:lang w:val="uk-UA"/>
        </w:rPr>
        <w:t xml:space="preserve"> Комісія з ГРР ФАО, міжнародні центри с.–г. досліджень, Європейська кооперативна програма з генетичних ресурсів рослин та інші міжнародні об’єднання і програми; 9) видання наукового журналу «Генетичні ресурси рослин», монографій, методичних розробок, класифікаторів культур, каталогів зразків генофонду та ін. матеріалів стосовно генетичних ресурсів рослин; 10) підготовка та </w:t>
      </w:r>
      <w:proofErr w:type="spellStart"/>
      <w:r w:rsidRPr="00AC3144">
        <w:rPr>
          <w:rFonts w:ascii="SchoolBookCTT" w:hAnsi="SchoolBookCTT" w:cs="SchoolBookCTT"/>
          <w:color w:val="000000"/>
          <w:sz w:val="20"/>
          <w:szCs w:val="20"/>
          <w:u w:color="000000"/>
          <w:lang w:val="uk-UA"/>
        </w:rPr>
        <w:t>передпідготовка</w:t>
      </w:r>
      <w:proofErr w:type="spellEnd"/>
      <w:r w:rsidRPr="00AC3144">
        <w:rPr>
          <w:rFonts w:ascii="SchoolBookCTT" w:hAnsi="SchoolBookCTT" w:cs="SchoolBookCTT"/>
          <w:color w:val="000000"/>
          <w:sz w:val="20"/>
          <w:szCs w:val="20"/>
          <w:u w:color="000000"/>
          <w:lang w:val="uk-UA"/>
        </w:rPr>
        <w:t xml:space="preserve"> наукових кадрів. </w:t>
      </w:r>
    </w:p>
    <w:p w:rsidR="0070003C" w:rsidRPr="00AC3144" w:rsidRDefault="0070003C" w:rsidP="0070003C">
      <w:pPr>
        <w:suppressAutoHyphens/>
        <w:autoSpaceDE w:val="0"/>
        <w:autoSpaceDN w:val="0"/>
        <w:adjustRightInd w:val="0"/>
        <w:spacing w:line="288" w:lineRule="auto"/>
        <w:ind w:firstLine="283"/>
        <w:jc w:val="both"/>
        <w:textAlignment w:val="center"/>
        <w:rPr>
          <w:rFonts w:ascii="SchoolBookCTT" w:hAnsi="SchoolBookCTT" w:cs="SchoolBookCTT"/>
          <w:color w:val="000000"/>
          <w:sz w:val="20"/>
          <w:szCs w:val="20"/>
          <w:u w:color="000000"/>
          <w:lang w:val="uk-UA"/>
        </w:rPr>
      </w:pPr>
      <w:r w:rsidRPr="00AC3144">
        <w:rPr>
          <w:rFonts w:ascii="SchoolBookCTT" w:hAnsi="SchoolBookCTT" w:cs="SchoolBookCTT"/>
          <w:color w:val="000000"/>
          <w:sz w:val="20"/>
          <w:szCs w:val="20"/>
          <w:u w:color="000000"/>
          <w:lang w:val="uk-UA"/>
        </w:rPr>
        <w:t xml:space="preserve">До складу Системи мають увійти установи означених вище відомств, а також, на добровільних засадах, інші юридичні та фізичні особи, які роблять внесок у формування Національного банку ГРР України для виробництва продовольства та ведення сільського господарства, у </w:t>
      </w:r>
      <w:proofErr w:type="spellStart"/>
      <w:r w:rsidRPr="00AC3144">
        <w:rPr>
          <w:rFonts w:ascii="SchoolBookCTT" w:hAnsi="SchoolBookCTT" w:cs="SchoolBookCTT"/>
          <w:color w:val="000000"/>
          <w:sz w:val="20"/>
          <w:szCs w:val="20"/>
          <w:u w:color="000000"/>
          <w:lang w:val="uk-UA"/>
        </w:rPr>
        <w:t>т.ч</w:t>
      </w:r>
      <w:proofErr w:type="spellEnd"/>
      <w:r w:rsidRPr="00AC3144">
        <w:rPr>
          <w:rFonts w:ascii="SchoolBookCTT" w:hAnsi="SchoolBookCTT" w:cs="SchoolBookCTT"/>
          <w:color w:val="000000"/>
          <w:sz w:val="20"/>
          <w:szCs w:val="20"/>
          <w:u w:color="000000"/>
          <w:lang w:val="uk-UA"/>
        </w:rPr>
        <w:t xml:space="preserve">. вищі і середні спеціальні навчальні заклади, ботанічні сади, приватні селекційні і насінницькі компанії, окремі вчені, аматори тощо. Юридичні і фізичні особи у складі Системи розподіляться у три підсистеми: 1) польових культур, 2) овочевих, баштанних культур і картоплі; 3) плодових, ягідних, лісових, декоративних культур і винограду. Науково–методичне </w:t>
      </w:r>
      <w:r w:rsidRPr="00AC3144">
        <w:rPr>
          <w:rFonts w:ascii="SchoolBookCTT" w:hAnsi="SchoolBookCTT" w:cs="SchoolBookCTT"/>
          <w:color w:val="000000"/>
          <w:sz w:val="20"/>
          <w:szCs w:val="20"/>
          <w:u w:color="000000"/>
          <w:lang w:val="uk-UA"/>
        </w:rPr>
        <w:lastRenderedPageBreak/>
        <w:t>керівництво та координацію діяльності Системи здійснюватиме НЦГРРУ, при якому функціонуватиме Координаційно-наукова рада з генетичних ресурсів рослин. Поточне управління Системою здійснюватиме Керівний комітет, який обиратиметься Радою один раз на п’ять років. Деталі організації та функціонування Системи підлягають обговоренню, але її створення є нагальною необхідністю.</w:t>
      </w:r>
    </w:p>
    <w:p w:rsidR="0070003C" w:rsidRPr="00AC3144" w:rsidRDefault="0070003C" w:rsidP="0070003C">
      <w:pPr>
        <w:suppressAutoHyphens/>
        <w:autoSpaceDE w:val="0"/>
        <w:autoSpaceDN w:val="0"/>
        <w:adjustRightInd w:val="0"/>
        <w:spacing w:line="288" w:lineRule="auto"/>
        <w:ind w:firstLine="283"/>
        <w:jc w:val="both"/>
        <w:textAlignment w:val="center"/>
        <w:rPr>
          <w:rFonts w:ascii="SchoolBookCTT" w:hAnsi="SchoolBookCTT" w:cs="SchoolBookCTT"/>
          <w:i/>
          <w:iCs/>
          <w:color w:val="000000"/>
          <w:sz w:val="20"/>
          <w:szCs w:val="20"/>
          <w:lang w:val="uk-UA"/>
        </w:rPr>
      </w:pPr>
    </w:p>
    <w:p w:rsidR="00A76681" w:rsidRPr="0070003C" w:rsidRDefault="0070003C">
      <w:pPr>
        <w:rPr>
          <w:lang w:val="uk-UA"/>
        </w:rPr>
      </w:pPr>
      <w:bookmarkStart w:id="0" w:name="_GoBack"/>
      <w:bookmarkEnd w:id="0"/>
    </w:p>
    <w:sectPr w:rsidR="00A76681" w:rsidRPr="007000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ragmaticaCTT">
    <w:altName w:val="Arial"/>
    <w:charset w:val="CC"/>
    <w:family w:val="swiss"/>
    <w:pitch w:val="variable"/>
    <w:sig w:usb0="00000001" w:usb1="00000000" w:usb2="00000000" w:usb3="00000000" w:csb0="00000005" w:csb1="00000000"/>
  </w:font>
  <w:font w:name="SchoolBookCTT">
    <w:altName w:val="Times New Roman"/>
    <w:charset w:val="CC"/>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03C"/>
    <w:rsid w:val="00445505"/>
    <w:rsid w:val="0070003C"/>
    <w:rsid w:val="00F85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4F43F-AEE8-4FEB-A3B2-27A547893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0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835</Words>
  <Characters>4766</Characters>
  <Application>Microsoft Office Word</Application>
  <DocSecurity>0</DocSecurity>
  <Lines>39</Lines>
  <Paragraphs>11</Paragraphs>
  <ScaleCrop>false</ScaleCrop>
  <Company>SPecialiST RePack</Company>
  <LinksUpToDate>false</LinksUpToDate>
  <CharactersWithSpaces>5590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Коховська Iрина</dc:creator>
  <cp:keywords/>
  <dc:description/>
  <cp:lastModifiedBy>Коховська Iрина</cp:lastModifiedBy>
  <cp:revision>1</cp:revision>
  <dcterms:created xsi:type="dcterms:W3CDTF">2017-04-12T09:54:00Z</dcterms:created>
  <dcterms:modified xsi:type="dcterms:W3CDTF">2017-04-12T09:56:00Z</dcterms:modified>
</cp:coreProperties>
</file>