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F5" w:rsidRPr="00AC3144" w:rsidRDefault="008B3CF5" w:rsidP="008B3CF5">
      <w:pPr>
        <w:rPr>
          <w:rFonts w:ascii="SchoolBookCTT" w:hAnsi="SchoolBookCTT" w:cs="SchoolBookCTT"/>
          <w:color w:val="FF0000"/>
          <w:sz w:val="20"/>
          <w:szCs w:val="20"/>
          <w:lang w:val="en-US"/>
        </w:rPr>
      </w:pPr>
    </w:p>
    <w:p w:rsidR="008B3CF5" w:rsidRPr="00AC3144" w:rsidRDefault="008B3CF5" w:rsidP="008B3CF5">
      <w:pPr>
        <w:suppressAutoHyphens/>
        <w:autoSpaceDE w:val="0"/>
        <w:autoSpaceDN w:val="0"/>
        <w:adjustRightInd w:val="0"/>
        <w:spacing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FF0000"/>
          <w:sz w:val="22"/>
          <w:szCs w:val="22"/>
          <w:rtl/>
          <w:lang w:val="uk-UA" w:bidi="ar-YE"/>
        </w:rPr>
      </w:pPr>
      <w:r w:rsidRPr="00AC3144">
        <w:rPr>
          <w:rFonts w:ascii="PragmaticaCTT" w:hAnsi="PragmaticaCTT" w:cs="PragmaticaCTT"/>
          <w:b/>
          <w:bCs/>
          <w:caps/>
          <w:color w:val="FF0000"/>
          <w:sz w:val="22"/>
          <w:szCs w:val="22"/>
          <w:rtl/>
          <w:lang w:val="uk-UA" w:bidi="ar-YE"/>
        </w:rPr>
        <w:t xml:space="preserve">ОЦІНКА ГЕНЕТИЧНОГО РІЗНОМАНІТТЯ ГОРОХУ </w:t>
      </w:r>
    </w:p>
    <w:p w:rsidR="008B3CF5" w:rsidRPr="00AC3144" w:rsidRDefault="008B3CF5" w:rsidP="008B3CF5">
      <w:pPr>
        <w:suppressAutoHyphens/>
        <w:autoSpaceDE w:val="0"/>
        <w:autoSpaceDN w:val="0"/>
        <w:adjustRightInd w:val="0"/>
        <w:spacing w:after="6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FF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FF0000"/>
          <w:sz w:val="22"/>
          <w:szCs w:val="22"/>
          <w:rtl/>
          <w:lang w:val="uk-UA" w:bidi="ar-YE"/>
        </w:rPr>
        <w:t xml:space="preserve">ЗА ДОПОМОГОЮ </w:t>
      </w:r>
      <w:r w:rsidRPr="00AC3144">
        <w:rPr>
          <w:rFonts w:ascii="PragmaticaCTT" w:hAnsi="PragmaticaCTT" w:cs="PragmaticaCTT"/>
          <w:b/>
          <w:bCs/>
          <w:caps/>
          <w:color w:val="FF0000"/>
          <w:sz w:val="22"/>
          <w:szCs w:val="22"/>
          <w:lang w:val="en-US"/>
        </w:rPr>
        <w:t>SSR</w:t>
      </w:r>
      <w:r w:rsidRPr="00AC3144">
        <w:rPr>
          <w:rFonts w:ascii="PragmaticaCTT" w:hAnsi="PragmaticaCTT" w:cs="PragmaticaCTT"/>
          <w:b/>
          <w:bCs/>
          <w:caps/>
          <w:color w:val="FF0000"/>
          <w:sz w:val="22"/>
          <w:szCs w:val="22"/>
          <w:lang w:val="uk-UA"/>
        </w:rPr>
        <w:t>-МАРКЕРІВ</w:t>
      </w:r>
    </w:p>
    <w:p w:rsidR="008B3CF5" w:rsidRPr="00AC3144" w:rsidRDefault="008B3CF5" w:rsidP="008B3CF5">
      <w:pPr>
        <w:suppressAutoHyphens/>
        <w:autoSpaceDE w:val="0"/>
        <w:autoSpaceDN w:val="0"/>
        <w:adjustRightInd w:val="0"/>
        <w:spacing w:after="60" w:line="220" w:lineRule="atLeast"/>
        <w:jc w:val="center"/>
        <w:textAlignment w:val="center"/>
        <w:rPr>
          <w:rFonts w:ascii="PragmaticaCTT" w:hAnsi="PragmaticaCTT" w:cs="PragmaticaCTT"/>
          <w:color w:val="FF0000"/>
          <w:sz w:val="20"/>
          <w:szCs w:val="20"/>
          <w:lang w:val="uk-UA"/>
        </w:rPr>
      </w:pPr>
      <w:proofErr w:type="spellStart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>Estimation</w:t>
      </w:r>
      <w:proofErr w:type="spellEnd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>genetic</w:t>
      </w:r>
      <w:proofErr w:type="spellEnd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>diversity</w:t>
      </w:r>
      <w:proofErr w:type="spellEnd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>pea</w:t>
      </w:r>
      <w:proofErr w:type="spellEnd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>using</w:t>
      </w:r>
      <w:proofErr w:type="spellEnd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 xml:space="preserve"> SSR-</w:t>
      </w:r>
      <w:proofErr w:type="spellStart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>markers</w:t>
      </w:r>
      <w:proofErr w:type="spellEnd"/>
      <w:r w:rsidRPr="00AC3144">
        <w:rPr>
          <w:rFonts w:ascii="PragmaticaCTT" w:hAnsi="PragmaticaCTT" w:cs="PragmaticaCTT"/>
          <w:color w:val="FF0000"/>
          <w:sz w:val="20"/>
          <w:szCs w:val="20"/>
          <w:lang w:val="uk-UA"/>
        </w:rPr>
        <w:t xml:space="preserve"> </w:t>
      </w:r>
    </w:p>
    <w:p w:rsidR="008B3CF5" w:rsidRPr="00AC3144" w:rsidRDefault="008B3CF5" w:rsidP="008B3CF5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FF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FF0000"/>
          <w:sz w:val="18"/>
          <w:szCs w:val="18"/>
          <w:lang w:val="uk-UA"/>
        </w:rPr>
        <w:t xml:space="preserve">М.Є. </w:t>
      </w:r>
      <w:proofErr w:type="spellStart"/>
      <w:r w:rsidRPr="00AC3144">
        <w:rPr>
          <w:rFonts w:ascii="PragmaticaCTT" w:hAnsi="PragmaticaCTT" w:cs="PragmaticaCTT"/>
          <w:b/>
          <w:bCs/>
          <w:color w:val="FF0000"/>
          <w:sz w:val="18"/>
          <w:szCs w:val="18"/>
          <w:lang w:val="uk-UA"/>
        </w:rPr>
        <w:t>Баташова</w:t>
      </w:r>
      <w:proofErr w:type="spellEnd"/>
      <w:r w:rsidRPr="00AC3144">
        <w:rPr>
          <w:rFonts w:ascii="PragmaticaCTT" w:hAnsi="PragmaticaCTT" w:cs="PragmaticaCTT"/>
          <w:b/>
          <w:bCs/>
          <w:color w:val="FF0000"/>
          <w:sz w:val="18"/>
          <w:szCs w:val="18"/>
          <w:lang w:val="uk-UA"/>
        </w:rPr>
        <w:t xml:space="preserve">, Л.М. </w:t>
      </w:r>
      <w:proofErr w:type="spellStart"/>
      <w:r w:rsidRPr="00AC3144">
        <w:rPr>
          <w:rFonts w:ascii="PragmaticaCTT" w:hAnsi="PragmaticaCTT" w:cs="PragmaticaCTT"/>
          <w:b/>
          <w:bCs/>
          <w:color w:val="FF0000"/>
          <w:sz w:val="18"/>
          <w:szCs w:val="18"/>
          <w:lang w:val="uk-UA"/>
        </w:rPr>
        <w:t>Криворучко</w:t>
      </w:r>
      <w:proofErr w:type="spellEnd"/>
    </w:p>
    <w:p w:rsidR="008B3CF5" w:rsidRPr="00AC3144" w:rsidRDefault="008B3CF5" w:rsidP="008B3CF5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FF0000"/>
          <w:sz w:val="16"/>
          <w:szCs w:val="16"/>
          <w:lang w:val="en-US"/>
        </w:rPr>
      </w:pPr>
      <w:r w:rsidRPr="00AC3144">
        <w:rPr>
          <w:rFonts w:ascii="PragmaticaCTT" w:hAnsi="PragmaticaCTT" w:cs="PragmaticaCTT"/>
          <w:color w:val="FF0000"/>
          <w:sz w:val="16"/>
          <w:szCs w:val="16"/>
          <w:lang w:val="en-US"/>
        </w:rPr>
        <w:t xml:space="preserve">M. E. </w:t>
      </w:r>
      <w:proofErr w:type="spellStart"/>
      <w:r w:rsidRPr="00AC3144">
        <w:rPr>
          <w:rFonts w:ascii="PragmaticaCTT" w:hAnsi="PragmaticaCTT" w:cs="PragmaticaCTT"/>
          <w:color w:val="FF0000"/>
          <w:sz w:val="16"/>
          <w:szCs w:val="16"/>
          <w:lang w:val="en-US"/>
        </w:rPr>
        <w:t>Batashova</w:t>
      </w:r>
      <w:proofErr w:type="spellEnd"/>
      <w:r w:rsidRPr="00AC3144">
        <w:rPr>
          <w:rFonts w:ascii="PragmaticaCTT" w:hAnsi="PragmaticaCTT" w:cs="PragmaticaCTT"/>
          <w:color w:val="FF0000"/>
          <w:sz w:val="16"/>
          <w:szCs w:val="16"/>
          <w:lang w:val="en-US"/>
        </w:rPr>
        <w:t xml:space="preserve">, L.M. </w:t>
      </w:r>
      <w:proofErr w:type="spellStart"/>
      <w:r w:rsidRPr="00AC3144">
        <w:rPr>
          <w:rFonts w:ascii="PragmaticaCTT" w:hAnsi="PragmaticaCTT" w:cs="PragmaticaCTT"/>
          <w:color w:val="FF0000"/>
          <w:sz w:val="16"/>
          <w:szCs w:val="16"/>
          <w:lang w:val="en-US"/>
        </w:rPr>
        <w:t>Kryvoruchko</w:t>
      </w:r>
      <w:proofErr w:type="spellEnd"/>
    </w:p>
    <w:p w:rsidR="008B3CF5" w:rsidRPr="00AC3144" w:rsidRDefault="008B3CF5" w:rsidP="008B3CF5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FF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FF0000"/>
          <w:sz w:val="18"/>
          <w:szCs w:val="18"/>
          <w:lang w:val="uk-UA"/>
        </w:rPr>
        <w:t>Полтавська державна аграрна академія</w:t>
      </w:r>
    </w:p>
    <w:p w:rsidR="008B3CF5" w:rsidRPr="00AC3144" w:rsidRDefault="008B3CF5" w:rsidP="008B3CF5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FF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FF0000"/>
          <w:sz w:val="16"/>
          <w:szCs w:val="16"/>
          <w:lang w:val="uk-UA"/>
        </w:rPr>
        <w:t>Poltava</w:t>
      </w:r>
      <w:proofErr w:type="spellEnd"/>
      <w:r w:rsidRPr="00AC3144">
        <w:rPr>
          <w:rFonts w:ascii="PragmaticaCTT" w:hAnsi="PragmaticaCTT" w:cs="PragmaticaCTT"/>
          <w:color w:val="FF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FF0000"/>
          <w:sz w:val="16"/>
          <w:szCs w:val="16"/>
          <w:lang w:val="uk-UA"/>
        </w:rPr>
        <w:t>State</w:t>
      </w:r>
      <w:proofErr w:type="spellEnd"/>
      <w:r w:rsidRPr="00AC3144">
        <w:rPr>
          <w:rFonts w:ascii="PragmaticaCTT" w:hAnsi="PragmaticaCTT" w:cs="PragmaticaCTT"/>
          <w:color w:val="FF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FF0000"/>
          <w:sz w:val="16"/>
          <w:szCs w:val="16"/>
          <w:lang w:val="uk-UA"/>
        </w:rPr>
        <w:t>Agrarian</w:t>
      </w:r>
      <w:proofErr w:type="spellEnd"/>
      <w:r w:rsidRPr="00AC3144">
        <w:rPr>
          <w:rFonts w:ascii="PragmaticaCTT" w:hAnsi="PragmaticaCTT" w:cs="PragmaticaCTT"/>
          <w:color w:val="FF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FF0000"/>
          <w:sz w:val="16"/>
          <w:szCs w:val="16"/>
          <w:lang w:val="uk-UA"/>
        </w:rPr>
        <w:t>Academy</w:t>
      </w:r>
      <w:proofErr w:type="spellEnd"/>
    </w:p>
    <w:p w:rsidR="008B3CF5" w:rsidRPr="00AC3144" w:rsidRDefault="008B3CF5" w:rsidP="008B3CF5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FF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FF0000"/>
          <w:sz w:val="16"/>
          <w:szCs w:val="16"/>
          <w:lang w:val="uk-UA"/>
        </w:rPr>
        <w:t>e-</w:t>
      </w:r>
      <w:proofErr w:type="spellStart"/>
      <w:r w:rsidRPr="00AC3144">
        <w:rPr>
          <w:rFonts w:ascii="PragmaticaCTT" w:hAnsi="PragmaticaCTT" w:cs="PragmaticaCTT"/>
          <w:color w:val="FF0000"/>
          <w:sz w:val="16"/>
          <w:szCs w:val="16"/>
          <w:lang w:val="uk-UA"/>
        </w:rPr>
        <w:t>mail</w:t>
      </w:r>
      <w:proofErr w:type="spellEnd"/>
      <w:r w:rsidRPr="00AC3144">
        <w:rPr>
          <w:rFonts w:ascii="PragmaticaCTT" w:hAnsi="PragmaticaCTT" w:cs="PragmaticaCTT"/>
          <w:color w:val="FF0000"/>
          <w:sz w:val="16"/>
          <w:szCs w:val="16"/>
          <w:lang w:val="uk-UA"/>
        </w:rPr>
        <w:t>: mb.instagro@gmail.com</w:t>
      </w:r>
    </w:p>
    <w:p w:rsidR="008B3CF5" w:rsidRPr="00AC3144" w:rsidRDefault="008B3CF5" w:rsidP="008B3CF5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</w:rPr>
      </w:pPr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  <w:rtl/>
          <w:lang w:bidi="ar-YE"/>
        </w:rPr>
        <w:t xml:space="preserve">Генетическое разнообразие форм вида Pisum sativum достаточно большое, однако большинство современных сортов характеризуются схожим морфотипом, и отличия могут проявляться лишь в их адаптационной способности. Нами проведен </w:t>
      </w:r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</w:rPr>
        <w:t xml:space="preserve">25 </w:t>
      </w:r>
      <w:proofErr w:type="spellStart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</w:rPr>
        <w:t>сортообразцов</w:t>
      </w:r>
      <w:proofErr w:type="spellEnd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</w:rPr>
        <w:t xml:space="preserve"> гороха за 7 </w:t>
      </w:r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  <w:lang w:val="uk-UA"/>
        </w:rPr>
        <w:t>SSR</w:t>
      </w:r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</w:rPr>
        <w:t>-</w:t>
      </w:r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  <w:rtl/>
          <w:lang w:bidi="ar-YE"/>
        </w:rPr>
        <w:t>маркерами</w:t>
      </w:r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</w:rPr>
        <w:t xml:space="preserve">. Показано, что сорта гороха с </w:t>
      </w:r>
      <w:proofErr w:type="spellStart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</w:rPr>
        <w:t>афильным</w:t>
      </w:r>
      <w:proofErr w:type="spellEnd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u w:color="000000"/>
        </w:rPr>
        <w:t xml:space="preserve"> типом листка сформировали достаточно узкий кластер, что указывает на сужение исходного материала в селекции гороха. </w:t>
      </w:r>
    </w:p>
    <w:p w:rsidR="008B3CF5" w:rsidRPr="00AC3144" w:rsidRDefault="008B3CF5" w:rsidP="008B3CF5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</w:pPr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 xml:space="preserve">Genetic diversity of </w:t>
      </w:r>
      <w:proofErr w:type="spellStart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>Pisum</w:t>
      </w:r>
      <w:proofErr w:type="spellEnd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>sativum</w:t>
      </w:r>
      <w:proofErr w:type="spellEnd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 xml:space="preserve"> is great but almost recent varieties have the same </w:t>
      </w:r>
      <w:proofErr w:type="spellStart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>morphotype</w:t>
      </w:r>
      <w:proofErr w:type="spellEnd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 xml:space="preserve"> and their differences appear only in adaptive ability to environment. We </w:t>
      </w:r>
      <w:proofErr w:type="spellStart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>investgate</w:t>
      </w:r>
      <w:proofErr w:type="spellEnd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 xml:space="preserve"> 25 pea accessions using 7 SSR-markers. It was shown that </w:t>
      </w:r>
      <w:proofErr w:type="spellStart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>afila</w:t>
      </w:r>
      <w:proofErr w:type="spellEnd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 xml:space="preserve">-type varieties make a </w:t>
      </w:r>
      <w:proofErr w:type="gramStart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>very</w:t>
      </w:r>
      <w:proofErr w:type="gramEnd"/>
      <w:r w:rsidRPr="00AC3144">
        <w:rPr>
          <w:rFonts w:ascii="PragmaticaCTT" w:hAnsi="PragmaticaCTT" w:cs="PragmaticaCTT"/>
          <w:i/>
          <w:iCs/>
          <w:color w:val="FF0000"/>
          <w:sz w:val="16"/>
          <w:szCs w:val="16"/>
          <w:lang w:val="en-GB"/>
        </w:rPr>
        <w:t xml:space="preserve"> closed cluster that indicate on narrowing of resources for pea breeding. </w:t>
      </w:r>
    </w:p>
    <w:p w:rsidR="008B3CF5" w:rsidRPr="00AC3144" w:rsidRDefault="008B3CF5" w:rsidP="008B3CF5">
      <w:pPr>
        <w:autoSpaceDE w:val="0"/>
        <w:autoSpaceDN w:val="0"/>
        <w:adjustRightInd w:val="0"/>
        <w:spacing w:line="288" w:lineRule="auto"/>
        <w:ind w:firstLine="283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Мікросателітні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SSR-маркери, відомі також як прості повторювані послідовності, часто використовуються для оцінки генетичного різноманіття багатьох культур завдяки їх точності, інформативності,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кодомінантності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презентативності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та високому поліморфізму. Це так звана маркерна, або MAS-селекція, яка останні роки широко залучається для оцінки, прискорення та покращення селекційних програм цілого ряду бобових культур: сої, гороху, квасолі, бобів,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сочевичі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та інших. </w:t>
      </w:r>
    </w:p>
    <w:p w:rsidR="008B3CF5" w:rsidRPr="00AC3144" w:rsidRDefault="008B3CF5" w:rsidP="008B3CF5">
      <w:pPr>
        <w:autoSpaceDE w:val="0"/>
        <w:autoSpaceDN w:val="0"/>
        <w:adjustRightInd w:val="0"/>
        <w:spacing w:line="288" w:lineRule="auto"/>
        <w:ind w:firstLine="283"/>
        <w:jc w:val="both"/>
        <w:textAlignment w:val="baseline"/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Генетичне різноманіття форм виду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Pisum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sativum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доволі велике. Однак, більшість сучасних сортів характеризуються схожим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морфотипом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: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афільний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(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безлисточковий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) тип листка, вкорочені та потовщені міжвузля, що відповідно надає рослинам стійкості до вилягання, збільшені показники генеративної сфери рослини (кількість бобів, кількість насіння, кількість насіннєвих зачатків в бобі, крупність насіння), високий вміст білку, стійкість до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хвороб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та підвищена здатність до симбіотичної азотфіксації. При цьому, більшість сортів інколи важко розрізнити візуально, і відмінності між ними можуть проявлятися в їх адаптаційній здатності до певних умов вирощування. </w:t>
      </w:r>
    </w:p>
    <w:p w:rsidR="008B3CF5" w:rsidRPr="00AC3144" w:rsidRDefault="008B3CF5" w:rsidP="008B3CF5">
      <w:pPr>
        <w:autoSpaceDE w:val="0"/>
        <w:autoSpaceDN w:val="0"/>
        <w:adjustRightInd w:val="0"/>
        <w:spacing w:line="288" w:lineRule="auto"/>
        <w:ind w:firstLine="283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Нами був проведений аналіз 25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сортозразків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гороху із навчальної колекції за 7 SSR-маркерами. Дана колекція містить сучасні сорти гороху Полтавського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селкцентру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інші сорти, лінії із різним типом листка, сорти гороху польового (пелюшки) та дикі підвиди із колекції Національного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генбанку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Дослідження проводились в рамках співробітництва між Полтавською державною аграрною академією та Центром агрономічних досліджень CARAH (Бельгія). Методика виділення ДНК з проростків та проведення ПЛР здійснювались відповідно до протоколів CARAH. Аналіз фрагментів ДНК проводився за допомогою капілярного електрофорезу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Genetic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Analysis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System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Genome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Lab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GeXP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Beckman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Coulter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USA). </w:t>
      </w:r>
    </w:p>
    <w:p w:rsidR="008B3CF5" w:rsidRPr="00AC3144" w:rsidRDefault="008B3CF5" w:rsidP="008B3CF5">
      <w:pPr>
        <w:autoSpaceDE w:val="0"/>
        <w:autoSpaceDN w:val="0"/>
        <w:adjustRightInd w:val="0"/>
        <w:spacing w:line="288" w:lineRule="auto"/>
        <w:ind w:firstLine="283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В результаті аналізу SSR-фрагментів нами було показано, що сорти гороху із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афільним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типом листка полтавської і харківської селекції сформували один достатньо вузький кластер. Це вказує на можливе використання одних предків в родоводі цих сучасних вусатих сортів гороху. Також, досліджені нами сорт Батрак російської селекції та одержана на його основі мутантна форма із розсіченим типом листка виявились генетично ідентичними за представленими маркерами. </w:t>
      </w:r>
    </w:p>
    <w:p w:rsidR="008B3CF5" w:rsidRPr="00AC3144" w:rsidRDefault="008B3CF5" w:rsidP="008B3CF5">
      <w:pPr>
        <w:autoSpaceDE w:val="0"/>
        <w:autoSpaceDN w:val="0"/>
        <w:adjustRightInd w:val="0"/>
        <w:spacing w:line="288" w:lineRule="auto"/>
        <w:ind w:firstLine="283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Більш різноманітними та генетично віддаленими виявились сорти гороху польового (пелюшка):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Розоцветущая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Blue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Pod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Golden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Snow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, овочеві лінії та дикі підвиди 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abyssinicum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syriacum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elatius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). Отримані дані вказують на неминуче звуження генетичного різноманіття при використанні в селекції вузького набору вихідних форм. Звичайно, селекціонер підбирає кращі форми для успішної реалізації селекційних програм, однак важливим аспектом такої роботи є високий рівень генетичного різноманіття робочої колекції, що дасть можливість в подальшій роботі швидко та вдало підібрати вихідний матеріал для створення нових сортів на вимогу сучасного аграрного виробництва. </w:t>
      </w:r>
    </w:p>
    <w:p w:rsidR="008B3CF5" w:rsidRPr="00AC3144" w:rsidRDefault="008B3CF5" w:rsidP="008B3CF5">
      <w:pPr>
        <w:autoSpaceDE w:val="0"/>
        <w:autoSpaceDN w:val="0"/>
        <w:adjustRightInd w:val="0"/>
        <w:spacing w:line="288" w:lineRule="auto"/>
        <w:ind w:firstLine="283"/>
        <w:jc w:val="both"/>
        <w:textAlignment w:val="baseline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A76681" w:rsidRPr="008B3CF5" w:rsidRDefault="008B3CF5">
      <w:pPr>
        <w:rPr>
          <w:lang w:val="uk-UA"/>
        </w:rPr>
      </w:pPr>
      <w:bookmarkStart w:id="0" w:name="_GoBack"/>
      <w:bookmarkEnd w:id="0"/>
    </w:p>
    <w:sectPr w:rsidR="00A76681" w:rsidRPr="008B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F5"/>
    <w:rsid w:val="00445505"/>
    <w:rsid w:val="008B3CF5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AE597-3409-42B9-BD20-9FB297F7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2017-04-12T09:59:00Z</dcterms:created>
  <dcterms:modified xsi:type="dcterms:W3CDTF">2017-04-12T09:59:00Z</dcterms:modified>
</cp:coreProperties>
</file>