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42" w:rsidRPr="00AC3144" w:rsidRDefault="008D3842" w:rsidP="008D3842">
      <w:pPr>
        <w:suppressAutoHyphens/>
        <w:autoSpaceDE w:val="0"/>
        <w:autoSpaceDN w:val="0"/>
        <w:adjustRightInd w:val="0"/>
        <w:spacing w:after="4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ЗБАГАЧЕННЯ ТА ЕФЕКТИВНЕ ВИКОРИСТАННЯ ГЕНЕТИЧНИХ РЕСУРСІВ КАРТОПЛІ НА УСТИМІВСЬКІЙ ДОСЛІДНІЙ СТАНЦІЇ РОСЛИННИЦТВА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after="40" w:line="220" w:lineRule="atLeast"/>
        <w:jc w:val="center"/>
        <w:textAlignment w:val="center"/>
        <w:rPr>
          <w:rFonts w:ascii="PragmaticaCTT" w:hAnsi="PragmaticaCTT" w:cs="PragmaticaCTT"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ENRICHMENT AND EFFECTIVE USE OF POTATOES GENETIC RESOURCES IN USTYMIVSKA PLANT RODUCTION EXPERIMENTAL STATION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Р. О.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Бондус</w:t>
      </w:r>
      <w:proofErr w:type="spellEnd"/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R. O.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Bondus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6"/>
          <w:szCs w:val="16"/>
          <w:lang w:val="uk-UA"/>
        </w:rPr>
        <w:t xml:space="preserve"> 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Устимівська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дослідна станція рослинництва Інституту рослинництва ім. В. Я. Юр’єва НААН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Ustymiv</w:t>
      </w:r>
      <w:r w:rsidRPr="00AC3144"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  <w:t>s</w:t>
      </w: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ka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Plant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Production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Experimental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Station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  <w:t> 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Plant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Production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                         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nd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V.Ya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Yuryev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after="2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: udsr@ukr.net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before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Сформирована коллекция объемом 640 образцов селекционных и местных сортов из более чем 30-ти стран мира, большинство из стран Европы - 58,9%. Образцы документированы в Национальном каталоге генетических ресурсов растений Украины, информация о них включена в Европейский каталог генетических ресурсов растений EURISCO. Проводится изучение образцов картофеля по продуктивности, устойчивостью к биотическим и абиотическим факторам среды. Изучается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жаро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- и засухоустойчивость сортов. На природном и провокационном инфекционных фонах проводится оценка сортов картофеля на вирусоустойчивость. В результате многолетних исследований сформированы и зарегистрированы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пьять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признаковых коллекций картофеля. Ежегодно выделяются источники и доноры хозяйственно-ценных признаков, которые передаются пользователям для использования в селекционных, научных, образовательных программах.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SchoolBookCTT" w:hAnsi="SchoolBookCTT" w:cs="SchoolBookCTT"/>
          <w:i/>
          <w:iCs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The collection of 640 samples of breeding varieties and landraces from more than 30 countries around the world, most of the European countries - 58.9%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is created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The accessions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are documented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in the National Catalogue of Plant Genetic Resources of Ukraine; information about them is included in the European Catalogue of Plant Genetic Resources EURISCO. There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is carried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out study of potato accessions on productivity, resistance to biotic and abiotic environmental factors. We study the heat- and drought-resistance of the varieties. In the natural and provocative infectious backgrounds, potato varieties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are being assessed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for resistance to viruses.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As a result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of perennial researches, 5 trait collections were formed and registered. Allocated sources and donors of agronomic traits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are allocated each year and transmitted to users for use in breeding, scientific and educational programs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.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Після здобуття Україною незалежності з 1993 року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Устимівська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дослідна станція рослинництва підпорядковується Інституту рослинництва ім. В.Я. Юр’єва НААН. Наразі вона є базовою науковою установою Національного центру генетичних ресурсів рослин України (НЦГРРУ). Кількісний склад сконцентрованого на станції генофонду рослин перевищує 28 тисяч зразків 133 сільськогосподарських культур, в тому числі картоплі – 640 зразків. Колекції різних сільськогосподарських культур та їх дикорослих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співродичів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які підтримуються на дослідній станції, визнані національним надбанням, що не мають аналогів в Україні і можуть бути використані в селекційних, дослідницьких та навчальних програмах. 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З культурою картоплі на станції започатковано роботу з 1953 року. Загальний обсяг сформованої колекції складає 640 зразків, які за біологічним статусом поділяються на селекційні і місцеві сорти. Різноманіття картоплі в колекції представлено зразками більш ніж із 30-ти країн світу, переважна більшість яких походить з країн Європи – 58,9 %. 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Основним джерелом поповнення колекції картоплі та інших культур є експедиційні збори. У результаті семи спільних міжнародних експедицій під керівництвом НЦГРРУ та Всеросійського інституту рослинництва ім. М.І.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Вавілова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(ВІР) за участю співробітників станції було обстежено та зібрано зразки сільськогосподарських культур, у тому числі картоплі, в усіх ґрунтово-кліматичних зонах України та на значній території Російської Федерації (Республіка Башкортостан, Республіка Карелія, Південний та Центральний Урал та ін.).</w:t>
      </w:r>
      <w:r w:rsidRPr="00AC3144">
        <w:rPr>
          <w:rFonts w:ascii="SchoolBookCTT" w:hAnsi="SchoolBookCTT" w:cs="SchoolBookCTT"/>
          <w:b/>
          <w:bCs/>
          <w:color w:val="000000"/>
          <w:spacing w:val="-4"/>
          <w:sz w:val="20"/>
          <w:szCs w:val="20"/>
          <w:lang w:val="uk-UA"/>
        </w:rPr>
        <w:t xml:space="preserve"> 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Ефективність і результативність виконання роботи по збереженню картоплі базується на інформаційному забезпеченні. З цією метою в 1992 р. у НЦГРРУ була розроблена та впроваджена інформаційна система «Генофонд рослин», метою якої є забезпечення оперативного доступу користувачів до інформації щодо генетичного різноманіття рослин. Співробітниками дослідної станції сформовано паспортну базу даних на 640 зразків картоплі. Кожен зразок картоплі з колекції дослідної станції є одиницею генофонду, що знаходиться на збереженні, занесений до Національного каталогу генетичних ресурсів рослин України і включений до баз даних Європейського міжнародного каталогу з генетичних ресурсів рослин EURISCO. </w:t>
      </w:r>
    </w:p>
    <w:p w:rsidR="008D3842" w:rsidRPr="00AC3144" w:rsidRDefault="008D3842" w:rsidP="008D3842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Проводиться комплексне вивчення зразків картоплі за продуктивністю, стійкістю до біотичних та абіотичних чинників середовища. Вивчається жаро- та посухостійкість сортів, діагностика проводиться за методикою Ф. Ф. </w:t>
      </w:r>
      <w:proofErr w:type="spellStart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Мацкова</w:t>
      </w:r>
      <w:proofErr w:type="spellEnd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та Л. С. Литвинова, а також за методикою розробленою в Інституті картоплярства НААН. Шляхом створення провокаційного інфекційного фону та в умовах природного інфекційного фону проводиться оцінка сортів картоплі на </w:t>
      </w:r>
      <w:proofErr w:type="spellStart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вірусостійкість</w:t>
      </w:r>
      <w:proofErr w:type="spellEnd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. У результаті багаторічних досліджень виділено, сформовано і зареєстровано в НЦГРРУ 13 цінних зразків та 5 </w:t>
      </w:r>
      <w:proofErr w:type="spellStart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ознакових</w:t>
      </w:r>
      <w:proofErr w:type="spellEnd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колекцій картоплі, в яких зразки підібрані за високим рівнем </w:t>
      </w:r>
      <w:proofErr w:type="spellStart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фенотипового</w:t>
      </w:r>
      <w:proofErr w:type="spellEnd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прояву окремих ознак або їх поєднання. До вище вказаних колекцій входять зразки з різним рівнем прояву ознак згідно міжнародного класифікатора РЕВ (1984). Неодмінними елементами </w:t>
      </w:r>
      <w:proofErr w:type="spellStart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ознакових</w:t>
      </w:r>
      <w:proofErr w:type="spellEnd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колекцій є еталонні зразки, які мають більш стабільний рівень прояву ознак при порівняно високому </w:t>
      </w:r>
      <w:proofErr w:type="spellStart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продукційному</w:t>
      </w:r>
      <w:proofErr w:type="spellEnd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процесі. </w:t>
      </w:r>
      <w:proofErr w:type="spellStart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Ознакові</w:t>
      </w:r>
      <w:proofErr w:type="spellEnd"/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колекції є першим кроком до створення генетичних колекцій. За результатами комплексного вивчення генофонду картоплі щорічно </w:t>
      </w:r>
      <w:r w:rsidRPr="00AC3144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lastRenderedPageBreak/>
        <w:t xml:space="preserve">виділяються джерела та донори господарсько-цінних ознак, які передаються користувачам для включення у селекційні, наукові, освітні програми. </w:t>
      </w:r>
    </w:p>
    <w:p w:rsidR="00A76681" w:rsidRPr="008D3842" w:rsidRDefault="008D3842">
      <w:pPr>
        <w:rPr>
          <w:lang w:val="uk-UA"/>
        </w:rPr>
      </w:pPr>
      <w:bookmarkStart w:id="0" w:name="_GoBack"/>
      <w:bookmarkEnd w:id="0"/>
    </w:p>
    <w:sectPr w:rsidR="00A76681" w:rsidRPr="008D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42"/>
    <w:rsid w:val="00445505"/>
    <w:rsid w:val="008D3842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24AB4-33D5-4E2F-ADCB-1B997F12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2017-04-12T10:55:00Z</dcterms:created>
  <dcterms:modified xsi:type="dcterms:W3CDTF">2017-04-12T10:56:00Z</dcterms:modified>
</cp:coreProperties>
</file>